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FE7" w:rsidRDefault="004066E8" w:rsidP="00C300B9">
      <w:pPr>
        <w:spacing w:before="120" w:after="120" w:line="240" w:lineRule="auto"/>
        <w:jc w:val="both"/>
        <w:rPr>
          <w:rFonts w:ascii="David" w:hAnsi="David" w:cs="David"/>
          <w:sz w:val="24"/>
          <w:szCs w:val="24"/>
          <w:rtl/>
        </w:rPr>
      </w:pPr>
      <w:r>
        <w:rPr>
          <w:rFonts w:ascii="David" w:hAnsi="David" w:cs="David" w:hint="cs"/>
          <w:sz w:val="24"/>
          <w:szCs w:val="24"/>
          <w:rtl/>
        </w:rPr>
        <w:t>טופס 4</w:t>
      </w:r>
    </w:p>
    <w:p w:rsidR="004066E8" w:rsidRDefault="004066E8" w:rsidP="00C300B9">
      <w:pPr>
        <w:spacing w:before="120" w:after="120" w:line="240" w:lineRule="auto"/>
        <w:jc w:val="both"/>
        <w:rPr>
          <w:rFonts w:ascii="David" w:hAnsi="David" w:cs="David"/>
          <w:sz w:val="24"/>
          <w:szCs w:val="24"/>
          <w:rtl/>
        </w:rPr>
      </w:pPr>
      <w:r>
        <w:rPr>
          <w:rFonts w:ascii="David" w:hAnsi="David" w:cs="David" w:hint="cs"/>
          <w:sz w:val="24"/>
          <w:szCs w:val="24"/>
          <w:rtl/>
        </w:rPr>
        <w:t>(תקנה 36)</w:t>
      </w:r>
    </w:p>
    <w:p w:rsidR="004066E8" w:rsidRDefault="004066E8" w:rsidP="00C300B9">
      <w:pPr>
        <w:spacing w:before="120" w:after="120" w:line="240" w:lineRule="auto"/>
        <w:jc w:val="both"/>
        <w:rPr>
          <w:rFonts w:ascii="David" w:hAnsi="David" w:cs="David"/>
          <w:sz w:val="24"/>
          <w:szCs w:val="24"/>
          <w:rtl/>
        </w:rPr>
      </w:pPr>
    </w:p>
    <w:p w:rsidR="004066E8" w:rsidRDefault="004066E8" w:rsidP="00C300B9">
      <w:pPr>
        <w:spacing w:before="120" w:after="120" w:line="240" w:lineRule="auto"/>
        <w:jc w:val="center"/>
        <w:rPr>
          <w:rFonts w:ascii="David" w:hAnsi="David" w:cs="David"/>
          <w:b/>
          <w:bCs/>
          <w:sz w:val="24"/>
          <w:szCs w:val="24"/>
          <w:u w:val="single"/>
          <w:rtl/>
        </w:rPr>
      </w:pPr>
      <w:r>
        <w:rPr>
          <w:rFonts w:ascii="David" w:hAnsi="David" w:cs="David" w:hint="cs"/>
          <w:b/>
          <w:bCs/>
          <w:sz w:val="24"/>
          <w:szCs w:val="24"/>
          <w:u w:val="single"/>
          <w:rtl/>
        </w:rPr>
        <w:t>דיווח לבית המשפט בדבר הדיון המקדמי (לפי תקנה 36 לתקנות סדר הדין האזרחי)</w:t>
      </w:r>
    </w:p>
    <w:p w:rsidR="004066E8" w:rsidRDefault="004066E8" w:rsidP="00C300B9">
      <w:pPr>
        <w:spacing w:before="120" w:after="120" w:line="240" w:lineRule="auto"/>
        <w:jc w:val="both"/>
        <w:rPr>
          <w:rFonts w:ascii="David" w:hAnsi="David" w:cs="David"/>
          <w:sz w:val="24"/>
          <w:szCs w:val="24"/>
          <w:rtl/>
        </w:rPr>
      </w:pPr>
    </w:p>
    <w:p w:rsidR="004066E8" w:rsidRDefault="004066E8" w:rsidP="00241F11">
      <w:pPr>
        <w:spacing w:before="120" w:after="120" w:line="240" w:lineRule="auto"/>
        <w:jc w:val="both"/>
        <w:rPr>
          <w:rFonts w:ascii="David" w:hAnsi="David" w:cs="David"/>
          <w:sz w:val="24"/>
          <w:szCs w:val="24"/>
          <w:rtl/>
        </w:rPr>
      </w:pPr>
      <w:r w:rsidRPr="004066E8">
        <w:rPr>
          <w:rFonts w:ascii="David" w:hAnsi="David" w:cs="David" w:hint="cs"/>
          <w:b/>
          <w:bCs/>
          <w:sz w:val="24"/>
          <w:szCs w:val="24"/>
          <w:rtl/>
        </w:rPr>
        <w:t>מס' הליך</w:t>
      </w:r>
      <w:r>
        <w:rPr>
          <w:rFonts w:ascii="David" w:hAnsi="David" w:cs="David" w:hint="cs"/>
          <w:sz w:val="24"/>
          <w:szCs w:val="24"/>
          <w:rtl/>
        </w:rPr>
        <w:t xml:space="preserve">: </w:t>
      </w:r>
      <w:r w:rsidR="00241F11">
        <w:rPr>
          <w:rFonts w:ascii="David" w:hAnsi="David" w:cs="David" w:hint="cs"/>
          <w:sz w:val="24"/>
          <w:szCs w:val="24"/>
          <w:rtl/>
        </w:rPr>
        <w:t>________</w:t>
      </w:r>
    </w:p>
    <w:p w:rsidR="004066E8" w:rsidRDefault="004066E8" w:rsidP="00241F11">
      <w:pPr>
        <w:spacing w:before="120" w:after="120" w:line="240" w:lineRule="auto"/>
        <w:jc w:val="both"/>
        <w:rPr>
          <w:rFonts w:ascii="David" w:hAnsi="David" w:cs="David"/>
          <w:sz w:val="24"/>
          <w:szCs w:val="24"/>
          <w:rtl/>
        </w:rPr>
      </w:pPr>
      <w:r w:rsidRPr="004066E8">
        <w:rPr>
          <w:rFonts w:ascii="David" w:hAnsi="David" w:cs="David" w:hint="cs"/>
          <w:b/>
          <w:bCs/>
          <w:sz w:val="24"/>
          <w:szCs w:val="24"/>
          <w:rtl/>
        </w:rPr>
        <w:t>שם המדווחים</w:t>
      </w:r>
      <w:r>
        <w:rPr>
          <w:rFonts w:ascii="David" w:hAnsi="David" w:cs="David" w:hint="cs"/>
          <w:sz w:val="24"/>
          <w:szCs w:val="24"/>
          <w:rtl/>
        </w:rPr>
        <w:t xml:space="preserve">: </w:t>
      </w:r>
      <w:r w:rsidR="00241F11">
        <w:rPr>
          <w:rFonts w:ascii="David" w:hAnsi="David" w:cs="David" w:hint="cs"/>
          <w:sz w:val="24"/>
          <w:szCs w:val="24"/>
          <w:rtl/>
        </w:rPr>
        <w:t xml:space="preserve">(שמות ב"כ הצדדים) </w:t>
      </w:r>
    </w:p>
    <w:p w:rsidR="004066E8" w:rsidRDefault="004066E8" w:rsidP="00241F11">
      <w:pPr>
        <w:pStyle w:val="ListParagraph"/>
        <w:numPr>
          <w:ilvl w:val="0"/>
          <w:numId w:val="1"/>
        </w:numPr>
        <w:spacing w:before="120" w:after="120" w:line="240" w:lineRule="auto"/>
        <w:ind w:left="368"/>
        <w:contextualSpacing w:val="0"/>
        <w:jc w:val="both"/>
        <w:rPr>
          <w:rFonts w:ascii="David" w:hAnsi="David" w:cs="David"/>
          <w:b/>
          <w:bCs/>
          <w:sz w:val="24"/>
          <w:szCs w:val="24"/>
        </w:rPr>
      </w:pPr>
      <w:r w:rsidRPr="004066E8">
        <w:rPr>
          <w:rFonts w:ascii="David" w:hAnsi="David" w:cs="David" w:hint="cs"/>
          <w:b/>
          <w:bCs/>
          <w:sz w:val="24"/>
          <w:szCs w:val="24"/>
          <w:rtl/>
        </w:rPr>
        <w:t>ביום</w:t>
      </w:r>
      <w:r>
        <w:rPr>
          <w:rFonts w:ascii="David" w:hAnsi="David" w:cs="David" w:hint="cs"/>
          <w:b/>
          <w:bCs/>
          <w:sz w:val="24"/>
          <w:szCs w:val="24"/>
          <w:rtl/>
        </w:rPr>
        <w:t xml:space="preserve"> </w:t>
      </w:r>
      <w:r w:rsidR="00241F11">
        <w:rPr>
          <w:rFonts w:ascii="David" w:hAnsi="David" w:cs="David" w:hint="cs"/>
          <w:b/>
          <w:bCs/>
          <w:sz w:val="24"/>
          <w:szCs w:val="24"/>
          <w:rtl/>
        </w:rPr>
        <w:t>_______</w:t>
      </w:r>
      <w:r>
        <w:rPr>
          <w:rFonts w:ascii="David" w:hAnsi="David" w:cs="David" w:hint="cs"/>
          <w:b/>
          <w:bCs/>
          <w:sz w:val="24"/>
          <w:szCs w:val="24"/>
          <w:rtl/>
        </w:rPr>
        <w:t>התקיים בטלפון דיון מקדמי בהשתתפות הגורמים האלה</w:t>
      </w:r>
      <w:r>
        <w:rPr>
          <w:rFonts w:ascii="David" w:hAnsi="David" w:cs="David" w:hint="cs"/>
          <w:sz w:val="24"/>
          <w:szCs w:val="24"/>
          <w:rtl/>
        </w:rPr>
        <w:t xml:space="preserve">: </w:t>
      </w:r>
      <w:r w:rsidR="00241F11">
        <w:rPr>
          <w:rFonts w:ascii="David" w:hAnsi="David" w:cs="David" w:hint="cs"/>
          <w:sz w:val="24"/>
          <w:szCs w:val="24"/>
          <w:rtl/>
        </w:rPr>
        <w:t>(שמות עוה"ד)</w:t>
      </w:r>
    </w:p>
    <w:p w:rsidR="004066E8" w:rsidRPr="00C300B9" w:rsidRDefault="004066E8" w:rsidP="00C300B9">
      <w:pPr>
        <w:pStyle w:val="ListParagraph"/>
        <w:numPr>
          <w:ilvl w:val="0"/>
          <w:numId w:val="1"/>
        </w:numPr>
        <w:spacing w:before="120" w:after="120" w:line="240" w:lineRule="auto"/>
        <w:ind w:left="368"/>
        <w:contextualSpacing w:val="0"/>
        <w:jc w:val="both"/>
        <w:rPr>
          <w:rFonts w:ascii="David" w:hAnsi="David" w:cs="David"/>
          <w:b/>
          <w:bCs/>
          <w:sz w:val="24"/>
          <w:szCs w:val="24"/>
        </w:rPr>
      </w:pPr>
      <w:r>
        <w:rPr>
          <w:rFonts w:ascii="David" w:hAnsi="David" w:cs="David" w:hint="cs"/>
          <w:b/>
          <w:bCs/>
          <w:sz w:val="24"/>
          <w:szCs w:val="24"/>
          <w:rtl/>
        </w:rPr>
        <w:t>בדיון המקדמי הוסכם על צמצום הפלוגתות והמחלוקות העובדתיות בעניינים האלה וגובשו ההסכמות המפורטות להלן</w:t>
      </w:r>
      <w:r>
        <w:rPr>
          <w:rFonts w:ascii="David" w:hAnsi="David" w:cs="David" w:hint="cs"/>
          <w:sz w:val="24"/>
          <w:szCs w:val="24"/>
          <w:rtl/>
        </w:rPr>
        <w:t xml:space="preserve">: </w:t>
      </w:r>
      <w:r w:rsidR="00C300B9">
        <w:rPr>
          <w:rFonts w:ascii="David" w:hAnsi="David" w:cs="David" w:hint="cs"/>
          <w:sz w:val="24"/>
          <w:szCs w:val="24"/>
          <w:rtl/>
        </w:rPr>
        <w:t>לא עלה בידי הצדדים</w:t>
      </w:r>
      <w:r w:rsidR="00C300B9">
        <w:rPr>
          <w:rFonts w:ascii="David" w:hAnsi="David" w:cs="David" w:hint="cs"/>
          <w:b/>
          <w:bCs/>
          <w:sz w:val="24"/>
          <w:szCs w:val="24"/>
          <w:rtl/>
        </w:rPr>
        <w:t xml:space="preserve"> </w:t>
      </w:r>
      <w:r w:rsidR="00C300B9" w:rsidRPr="00C300B9">
        <w:rPr>
          <w:rFonts w:ascii="David" w:hAnsi="David" w:cs="David" w:hint="cs"/>
          <w:sz w:val="24"/>
          <w:szCs w:val="24"/>
          <w:rtl/>
        </w:rPr>
        <w:t>להגיע להסכמות בדבר צמצום הפלוגתות והמחלוקות</w:t>
      </w:r>
      <w:r w:rsidR="00C300B9">
        <w:rPr>
          <w:rFonts w:ascii="David" w:hAnsi="David" w:cs="David" w:hint="cs"/>
          <w:b/>
          <w:bCs/>
          <w:sz w:val="24"/>
          <w:szCs w:val="24"/>
          <w:rtl/>
        </w:rPr>
        <w:t xml:space="preserve"> </w:t>
      </w:r>
      <w:r w:rsidR="00C300B9" w:rsidRPr="00C300B9">
        <w:rPr>
          <w:rFonts w:ascii="David" w:hAnsi="David" w:cs="David" w:hint="cs"/>
          <w:sz w:val="24"/>
          <w:szCs w:val="24"/>
          <w:rtl/>
        </w:rPr>
        <w:t>העובדתיות</w:t>
      </w:r>
      <w:r w:rsidR="00241F11">
        <w:rPr>
          <w:rFonts w:ascii="David" w:hAnsi="David" w:cs="David" w:hint="cs"/>
          <w:sz w:val="24"/>
          <w:szCs w:val="24"/>
          <w:rtl/>
        </w:rPr>
        <w:t>/הצדדים הסכימו על __________</w:t>
      </w:r>
      <w:r w:rsidR="00C300B9">
        <w:rPr>
          <w:rFonts w:ascii="David" w:hAnsi="David" w:cs="David" w:hint="cs"/>
          <w:sz w:val="24"/>
          <w:szCs w:val="24"/>
          <w:rtl/>
        </w:rPr>
        <w:t>.</w:t>
      </w:r>
    </w:p>
    <w:p w:rsidR="00C300B9" w:rsidRPr="00C300B9" w:rsidRDefault="00C300B9" w:rsidP="00D510C1">
      <w:pPr>
        <w:pStyle w:val="ListParagraph"/>
        <w:numPr>
          <w:ilvl w:val="0"/>
          <w:numId w:val="1"/>
        </w:numPr>
        <w:spacing w:before="120" w:after="120" w:line="240" w:lineRule="auto"/>
        <w:ind w:left="368"/>
        <w:contextualSpacing w:val="0"/>
        <w:jc w:val="both"/>
        <w:rPr>
          <w:rFonts w:ascii="David" w:hAnsi="David" w:cs="David"/>
          <w:b/>
          <w:bCs/>
          <w:sz w:val="24"/>
          <w:szCs w:val="24"/>
        </w:rPr>
      </w:pPr>
      <w:r>
        <w:rPr>
          <w:rFonts w:ascii="David" w:hAnsi="David" w:cs="David" w:hint="cs"/>
          <w:b/>
          <w:bCs/>
          <w:sz w:val="24"/>
          <w:szCs w:val="24"/>
          <w:rtl/>
        </w:rPr>
        <w:t>פירוט הצעדים שננקטו לצורך צמצום יריעת המחלוקת וייעול ההליך המשפטי</w:t>
      </w:r>
      <w:r w:rsidR="00A412EE">
        <w:rPr>
          <w:rFonts w:ascii="David" w:hAnsi="David" w:cs="David" w:hint="cs"/>
          <w:b/>
          <w:bCs/>
          <w:sz w:val="24"/>
          <w:szCs w:val="24"/>
          <w:rtl/>
        </w:rPr>
        <w:t xml:space="preserve"> (הקדמה של העמדת נושא חוות הדעת לבדיקה בידי מומחה מטעם הנתבע, מינוי של מומחה מוסכם, הסכמה על ראיות וכדומה)</w:t>
      </w:r>
      <w:r>
        <w:rPr>
          <w:rFonts w:ascii="David" w:hAnsi="David" w:cs="David" w:hint="cs"/>
          <w:sz w:val="24"/>
          <w:szCs w:val="24"/>
          <w:rtl/>
        </w:rPr>
        <w:t xml:space="preserve">: הצדדים </w:t>
      </w:r>
      <w:r w:rsidR="00D510C1">
        <w:rPr>
          <w:rFonts w:ascii="David" w:hAnsi="David" w:cs="David" w:hint="cs"/>
          <w:sz w:val="24"/>
          <w:szCs w:val="24"/>
          <w:rtl/>
        </w:rPr>
        <w:t xml:space="preserve">ניהלו דיון בנוגע להליכי הגילוי והעיון שהתקיימו ביניהם, כל צד הבהיר מהן הדרישות שלא נענו או לא נענו כראוי לשיטתו, והוסכם לקיים שיחה נוספת בימים הקרובים במטרה לנסות ולגבש הסכמות שימנעו את הצורך בהגשת בקשות מתאימות בעניין להכרעת ביהמ"ש הנכבד. </w:t>
      </w:r>
      <w:bookmarkStart w:id="0" w:name="_GoBack"/>
      <w:bookmarkEnd w:id="0"/>
    </w:p>
    <w:p w:rsidR="00C300B9" w:rsidRPr="00C300B9" w:rsidRDefault="00C300B9" w:rsidP="00C300B9">
      <w:pPr>
        <w:pStyle w:val="ListParagraph"/>
        <w:numPr>
          <w:ilvl w:val="0"/>
          <w:numId w:val="1"/>
        </w:numPr>
        <w:spacing w:before="120" w:after="120" w:line="240" w:lineRule="auto"/>
        <w:ind w:left="368"/>
        <w:contextualSpacing w:val="0"/>
        <w:jc w:val="both"/>
        <w:rPr>
          <w:rFonts w:ascii="David" w:hAnsi="David" w:cs="David"/>
          <w:b/>
          <w:bCs/>
          <w:sz w:val="24"/>
          <w:szCs w:val="24"/>
        </w:rPr>
      </w:pPr>
      <w:r>
        <w:rPr>
          <w:rFonts w:ascii="David" w:hAnsi="David" w:cs="David" w:hint="cs"/>
          <w:b/>
          <w:bCs/>
          <w:sz w:val="24"/>
          <w:szCs w:val="24"/>
          <w:rtl/>
        </w:rPr>
        <w:t>פירוט המנגנון החלופי ליישוב סכסוך שהוצע לצורך פתרון המחלוקת</w:t>
      </w:r>
      <w:r>
        <w:rPr>
          <w:rFonts w:ascii="David" w:hAnsi="David" w:cs="David" w:hint="cs"/>
          <w:sz w:val="24"/>
          <w:szCs w:val="24"/>
          <w:rtl/>
        </w:rPr>
        <w:t>: הצדדים סבורים כי טרם בשלה העת להפניית הסכסוך למנגנון יישוב חלופי.</w:t>
      </w:r>
    </w:p>
    <w:p w:rsidR="00C300B9" w:rsidRPr="004066E8" w:rsidRDefault="00C300B9" w:rsidP="00C300B9">
      <w:pPr>
        <w:pStyle w:val="ListParagraph"/>
        <w:numPr>
          <w:ilvl w:val="0"/>
          <w:numId w:val="1"/>
        </w:numPr>
        <w:spacing w:before="120" w:after="120" w:line="240" w:lineRule="auto"/>
        <w:ind w:left="368"/>
        <w:contextualSpacing w:val="0"/>
        <w:jc w:val="both"/>
        <w:rPr>
          <w:rFonts w:ascii="David" w:hAnsi="David" w:cs="David"/>
          <w:b/>
          <w:bCs/>
          <w:sz w:val="24"/>
          <w:szCs w:val="24"/>
        </w:rPr>
      </w:pPr>
      <w:r>
        <w:rPr>
          <w:rFonts w:ascii="David" w:hAnsi="David" w:cs="David" w:hint="cs"/>
          <w:b/>
          <w:bCs/>
          <w:sz w:val="24"/>
          <w:szCs w:val="24"/>
          <w:rtl/>
        </w:rPr>
        <w:t>לא הוחלפו מסמכים הנחוצים לצורך ליבון הפלוגתות וליבון המחלוקת</w:t>
      </w:r>
      <w:r>
        <w:rPr>
          <w:rFonts w:ascii="David" w:hAnsi="David" w:cs="David" w:hint="cs"/>
          <w:sz w:val="24"/>
          <w:szCs w:val="24"/>
          <w:rtl/>
        </w:rPr>
        <w:t>.</w:t>
      </w:r>
    </w:p>
    <w:sectPr w:rsidR="00C300B9" w:rsidRPr="004066E8" w:rsidSect="0044602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75613"/>
    <w:multiLevelType w:val="hybridMultilevel"/>
    <w:tmpl w:val="A4248F70"/>
    <w:lvl w:ilvl="0" w:tplc="32D6AE2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5C"/>
    <w:rsid w:val="0015735C"/>
    <w:rsid w:val="00192C63"/>
    <w:rsid w:val="00241F11"/>
    <w:rsid w:val="004066E8"/>
    <w:rsid w:val="0044602E"/>
    <w:rsid w:val="00567E55"/>
    <w:rsid w:val="00A412EE"/>
    <w:rsid w:val="00C300B9"/>
    <w:rsid w:val="00D510C1"/>
    <w:rsid w:val="00F00FE7"/>
    <w:rsid w:val="00F458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6F16"/>
  <w15:docId w15:val="{1D2A3C01-03F1-434E-B976-DB43347C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דיווח על דיון מקדמי</vt:lpstr>
    </vt:vector>
  </TitlesOfParts>
  <Manager>נשיץ ברנדס אמיר עו"ד (35803)</Manager>
  <Company>הפניקס חברה לבטוח בע"מ</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דיווח על דיון מקדמי</dc:title>
  <dc:subject>170205/1543</dc:subject>
  <dc:creator>G3814203-V1</dc:creator>
  <cp:keywords>V:\Docs\170205\01543\G3814203-V001.DOC.docX הפניקס חברה לבטוח בע"מ יגאל יאמין החזקות - אגרו-דן 2008 בע"מ 170205/1543 דיווח על דיון מקדמי 3814203-V1 G3814203-V1</cp:keywords>
  <dc:description>אורי שרייר_x000d_
הפניקס חברה לבטוח בע"מ_x000d_
דיווח על דיון מקדמי</dc:description>
  <cp:lastModifiedBy>Tamar Ben Ari (Moisseiev)</cp:lastModifiedBy>
  <cp:revision>3</cp:revision>
  <dcterms:created xsi:type="dcterms:W3CDTF">2023-10-25T08:33:00Z</dcterms:created>
  <dcterms:modified xsi:type="dcterms:W3CDTF">2023-10-25T09:15:00Z</dcterms:modified>
  <cp:category/>
</cp:coreProperties>
</file>