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3E6E" w14:textId="2AF2BB61" w:rsidR="00815AAF" w:rsidRDefault="00815AAF" w:rsidP="008C4B3F">
      <w:pPr>
        <w:autoSpaceDE w:val="0"/>
        <w:autoSpaceDN w:val="0"/>
        <w:adjustRightInd w:val="0"/>
        <w:spacing w:before="0" w:after="120"/>
        <w:ind w:firstLine="0"/>
        <w:jc w:val="both"/>
        <w:rPr>
          <w:sz w:val="22"/>
          <w:szCs w:val="22"/>
        </w:rPr>
      </w:pPr>
      <w:r w:rsidRPr="00815AAF">
        <w:rPr>
          <w:sz w:val="22"/>
          <w:szCs w:val="22"/>
        </w:rPr>
        <w:t xml:space="preserve">THIS INSTRUMENT AND ANY SECURITIES ISSUABLE PURSUANT </w:t>
      </w:r>
      <w:r w:rsidR="006C0092">
        <w:rPr>
          <w:sz w:val="22"/>
          <w:szCs w:val="22"/>
        </w:rPr>
        <w:t>T</w:t>
      </w:r>
      <w:r w:rsidRPr="00815AAF">
        <w:rPr>
          <w:sz w:val="22"/>
          <w:szCs w:val="22"/>
        </w:rPr>
        <w:t xml:space="preserve">HERETO HAVE NOT BEEN </w:t>
      </w:r>
      <w:r w:rsidRPr="00072196">
        <w:rPr>
          <w:sz w:val="22"/>
          <w:szCs w:val="22"/>
        </w:rPr>
        <w:t xml:space="preserve">REGISTERED </w:t>
      </w:r>
      <w:r w:rsidR="006C0092">
        <w:rPr>
          <w:sz w:val="22"/>
          <w:szCs w:val="22"/>
        </w:rPr>
        <w:t xml:space="preserve">UNDER </w:t>
      </w:r>
      <w:r w:rsidRPr="00815AAF">
        <w:rPr>
          <w:sz w:val="22"/>
          <w:szCs w:val="22"/>
        </w:rPr>
        <w:t>THE SECURITIES ACT OF 1933, AS AMENDED</w:t>
      </w:r>
      <w:r w:rsidR="00072196" w:rsidRPr="0057293C">
        <w:rPr>
          <w:sz w:val="22"/>
          <w:szCs w:val="22"/>
        </w:rPr>
        <w:t xml:space="preserve">, OR UNDER THE SECURITIES LAWS OF </w:t>
      </w:r>
      <w:r w:rsidR="006C0092">
        <w:rPr>
          <w:sz w:val="22"/>
          <w:szCs w:val="22"/>
        </w:rPr>
        <w:t>ANY</w:t>
      </w:r>
      <w:r w:rsidR="006C0092" w:rsidRPr="0057293C">
        <w:rPr>
          <w:sz w:val="22"/>
          <w:szCs w:val="22"/>
        </w:rPr>
        <w:t xml:space="preserve"> </w:t>
      </w:r>
      <w:r w:rsidR="00072196" w:rsidRPr="0057293C">
        <w:rPr>
          <w:sz w:val="22"/>
          <w:szCs w:val="22"/>
        </w:rPr>
        <w:t>STATE</w:t>
      </w:r>
      <w:r w:rsidR="00F43812" w:rsidRPr="0057293C">
        <w:rPr>
          <w:sz w:val="22"/>
          <w:szCs w:val="22"/>
        </w:rPr>
        <w:t xml:space="preserve"> (THE “SECURITIES LAWS”)</w:t>
      </w:r>
      <w:r w:rsidRPr="00815AAF">
        <w:rPr>
          <w:sz w:val="22"/>
          <w:szCs w:val="22"/>
        </w:rPr>
        <w:t>. THESE SECURITIES MAY NOT BE OFFERED, SOLD OR OTHERWISE TRANSFERRED, PLEDGED OR HYPOTHECATED EXCEPT AS PERMITTED IN THIS SAFE AND UNDER THE APPLICABLE SECURITIES LAWS PURSUANT TO AN EFFECTIVE REGISTRATION STATEMENT OR AN EXEMPTION THEREFROM.</w:t>
      </w:r>
    </w:p>
    <w:p w14:paraId="564BC146" w14:textId="77777777" w:rsidR="00AA69B7" w:rsidRPr="00815AAF" w:rsidRDefault="00AA69B7" w:rsidP="008C4B3F">
      <w:pPr>
        <w:autoSpaceDE w:val="0"/>
        <w:autoSpaceDN w:val="0"/>
        <w:adjustRightInd w:val="0"/>
        <w:spacing w:before="0" w:after="120"/>
        <w:ind w:firstLine="0"/>
        <w:jc w:val="both"/>
        <w:rPr>
          <w:sz w:val="22"/>
          <w:szCs w:val="22"/>
        </w:rPr>
      </w:pPr>
    </w:p>
    <w:p w14:paraId="334286ED" w14:textId="77777777" w:rsidR="00E23215" w:rsidRDefault="00E30DE7" w:rsidP="008C4B3F">
      <w:pPr>
        <w:autoSpaceDE w:val="0"/>
        <w:autoSpaceDN w:val="0"/>
        <w:adjustRightInd w:val="0"/>
        <w:spacing w:before="0" w:after="120"/>
        <w:ind w:firstLine="0"/>
        <w:jc w:val="center"/>
        <w:rPr>
          <w:sz w:val="22"/>
          <w:szCs w:val="22"/>
        </w:rPr>
      </w:pPr>
      <w:r>
        <w:rPr>
          <w:sz w:val="22"/>
          <w:szCs w:val="22"/>
        </w:rPr>
        <w:t xml:space="preserve"> </w:t>
      </w:r>
      <w:r w:rsidR="00D5333F">
        <w:rPr>
          <w:sz w:val="22"/>
          <w:szCs w:val="22"/>
        </w:rPr>
        <w:t>[</w:t>
      </w:r>
      <w:r w:rsidR="001D7B14" w:rsidRPr="009E58C4">
        <w:rPr>
          <w:b/>
          <w:sz w:val="22"/>
          <w:szCs w:val="22"/>
        </w:rPr>
        <w:t>COMPANY NAME</w:t>
      </w:r>
      <w:r w:rsidR="001D7B14">
        <w:rPr>
          <w:sz w:val="22"/>
          <w:szCs w:val="22"/>
        </w:rPr>
        <w:t>]</w:t>
      </w:r>
    </w:p>
    <w:p w14:paraId="1A3F0C8A" w14:textId="08EFE66B" w:rsidR="00E23215" w:rsidRDefault="005F0A92" w:rsidP="008C4B3F">
      <w:pPr>
        <w:autoSpaceDE w:val="0"/>
        <w:autoSpaceDN w:val="0"/>
        <w:adjustRightInd w:val="0"/>
        <w:spacing w:before="0" w:after="120"/>
        <w:ind w:firstLine="0"/>
        <w:jc w:val="center"/>
        <w:rPr>
          <w:b/>
          <w:sz w:val="22"/>
          <w:szCs w:val="22"/>
        </w:rPr>
      </w:pPr>
      <w:r>
        <w:rPr>
          <w:b/>
          <w:sz w:val="22"/>
          <w:szCs w:val="22"/>
        </w:rPr>
        <w:t>SAFE</w:t>
      </w:r>
      <w:r w:rsidR="00843FC4">
        <w:rPr>
          <w:b/>
          <w:sz w:val="22"/>
          <w:szCs w:val="22"/>
        </w:rPr>
        <w:t xml:space="preserve"> </w:t>
      </w:r>
    </w:p>
    <w:p w14:paraId="7FD0C6D2" w14:textId="77777777" w:rsidR="00E05C7D" w:rsidRDefault="00E05C7D" w:rsidP="008C4B3F">
      <w:pPr>
        <w:autoSpaceDE w:val="0"/>
        <w:autoSpaceDN w:val="0"/>
        <w:adjustRightInd w:val="0"/>
        <w:spacing w:before="0" w:after="120"/>
        <w:ind w:firstLine="0"/>
        <w:jc w:val="center"/>
        <w:rPr>
          <w:b/>
          <w:sz w:val="22"/>
          <w:szCs w:val="22"/>
        </w:rPr>
      </w:pPr>
      <w:r>
        <w:rPr>
          <w:b/>
          <w:sz w:val="22"/>
          <w:szCs w:val="22"/>
        </w:rPr>
        <w:t>(Simple Agreement for Future Equity)</w:t>
      </w:r>
    </w:p>
    <w:p w14:paraId="07686B71" w14:textId="77777777" w:rsidR="00AA69B7" w:rsidRDefault="00AA69B7" w:rsidP="008C4B3F">
      <w:pPr>
        <w:autoSpaceDE w:val="0"/>
        <w:autoSpaceDN w:val="0"/>
        <w:adjustRightInd w:val="0"/>
        <w:spacing w:before="0" w:after="120"/>
        <w:ind w:firstLine="0"/>
        <w:jc w:val="center"/>
        <w:rPr>
          <w:b/>
          <w:sz w:val="22"/>
          <w:szCs w:val="22"/>
        </w:rPr>
      </w:pPr>
    </w:p>
    <w:p w14:paraId="4BEE78FC" w14:textId="6F755F0F" w:rsidR="00543E23" w:rsidRDefault="00AF1458" w:rsidP="00D303EC">
      <w:pPr>
        <w:autoSpaceDE w:val="0"/>
        <w:autoSpaceDN w:val="0"/>
        <w:adjustRightInd w:val="0"/>
        <w:spacing w:before="0" w:after="120"/>
        <w:ind w:firstLine="709"/>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D2656D">
        <w:rPr>
          <w:sz w:val="22"/>
          <w:szCs w:val="22"/>
        </w:rPr>
        <w:t>[</w:t>
      </w:r>
      <w:r w:rsidR="009E58C4">
        <w:rPr>
          <w:sz w:val="22"/>
          <w:szCs w:val="22"/>
        </w:rPr>
        <w:t>Investor Name</w:t>
      </w:r>
      <w:r w:rsidR="00D2656D">
        <w:rPr>
          <w:sz w:val="22"/>
          <w:szCs w:val="22"/>
        </w:rPr>
        <w:t>] (the “</w:t>
      </w:r>
      <w:r w:rsidR="00D2656D">
        <w:rPr>
          <w:b/>
          <w:sz w:val="22"/>
          <w:szCs w:val="22"/>
        </w:rPr>
        <w:t>Investor</w:t>
      </w:r>
      <w:r w:rsidR="00D2656D">
        <w:rPr>
          <w:sz w:val="22"/>
          <w:szCs w:val="22"/>
        </w:rPr>
        <w:t>”) of</w:t>
      </w:r>
      <w:r w:rsidR="009815CF">
        <w:rPr>
          <w:sz w:val="22"/>
        </w:rPr>
        <w:t xml:space="preserve"> </w:t>
      </w:r>
      <w:r w:rsidR="008B743B">
        <w:rPr>
          <w:sz w:val="22"/>
        </w:rPr>
        <w:t>$[</w:t>
      </w:r>
      <w:r w:rsidR="009E58C4">
        <w:rPr>
          <w:sz w:val="22"/>
        </w:rPr>
        <w:t>________</w:t>
      </w:r>
      <w:r w:rsidR="009815CF" w:rsidRPr="00C30FAB">
        <w:rPr>
          <w:sz w:val="22"/>
        </w:rPr>
        <w:t>]</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A825C7">
        <w:rPr>
          <w:sz w:val="22"/>
        </w:rPr>
        <w:t xml:space="preserve">Date of </w:t>
      </w:r>
      <w:r w:rsidR="000332CB">
        <w:rPr>
          <w:sz w:val="22"/>
        </w:rPr>
        <w:t>SAFE</w:t>
      </w:r>
      <w:r w:rsidR="00926BE7">
        <w:rPr>
          <w:sz w:val="22"/>
        </w:rPr>
        <w:t>]</w:t>
      </w:r>
      <w:r w:rsidR="00D2656D">
        <w:rPr>
          <w:sz w:val="22"/>
        </w:rPr>
        <w:t>,</w:t>
      </w:r>
      <w:r w:rsidR="00B0749F">
        <w:rPr>
          <w:sz w:val="22"/>
        </w:rPr>
        <w:t xml:space="preserve"> </w:t>
      </w:r>
      <w:r w:rsidR="00A139DC">
        <w:rPr>
          <w:sz w:val="22"/>
          <w:szCs w:val="22"/>
        </w:rPr>
        <w:t>[</w:t>
      </w:r>
      <w:r w:rsidR="00A825C7">
        <w:rPr>
          <w:sz w:val="22"/>
          <w:szCs w:val="22"/>
        </w:rPr>
        <w:t>Company Name</w:t>
      </w:r>
      <w:r w:rsidR="001D7B14">
        <w:rPr>
          <w:sz w:val="22"/>
          <w:szCs w:val="22"/>
        </w:rPr>
        <w:t xml:space="preserve">], a </w:t>
      </w:r>
      <w:r w:rsidR="00A825C7">
        <w:rPr>
          <w:sz w:val="22"/>
          <w:szCs w:val="22"/>
        </w:rPr>
        <w:t xml:space="preserve">[State of Incorporation] </w:t>
      </w:r>
      <w:r w:rsidR="001D7B14">
        <w:rPr>
          <w:sz w:val="22"/>
          <w:szCs w:val="22"/>
        </w:rPr>
        <w:t>corporation (the “</w:t>
      </w:r>
      <w:r w:rsidR="001D7B14">
        <w:rPr>
          <w:b/>
          <w:sz w:val="22"/>
          <w:szCs w:val="22"/>
        </w:rPr>
        <w:t>Company</w:t>
      </w:r>
      <w:r w:rsidR="001D7B14">
        <w:rPr>
          <w:sz w:val="22"/>
          <w:szCs w:val="22"/>
        </w:rPr>
        <w:t>”), hereby issues</w:t>
      </w:r>
      <w:r w:rsidR="00BE6955">
        <w:rPr>
          <w:sz w:val="22"/>
          <w:szCs w:val="22"/>
        </w:rPr>
        <w:t xml:space="preserve"> to </w:t>
      </w:r>
      <w:r w:rsidR="00D2656D">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815AAF">
        <w:rPr>
          <w:sz w:val="22"/>
          <w:szCs w:val="22"/>
        </w:rPr>
        <w:t>share capital</w:t>
      </w:r>
      <w:r w:rsidR="00C53054">
        <w:rPr>
          <w:sz w:val="22"/>
        </w:rPr>
        <w:t>, subject to the terms set forth below</w:t>
      </w:r>
      <w:r w:rsidR="00C96D36">
        <w:rPr>
          <w:sz w:val="22"/>
          <w:szCs w:val="22"/>
        </w:rPr>
        <w:t>.</w:t>
      </w:r>
      <w:r w:rsidR="001D7B14">
        <w:rPr>
          <w:sz w:val="22"/>
          <w:szCs w:val="22"/>
        </w:rPr>
        <w:t xml:space="preserve"> </w:t>
      </w:r>
    </w:p>
    <w:p w14:paraId="67D4DCAF" w14:textId="5CE8DCC4" w:rsidR="00AB3E0B" w:rsidRDefault="00403B4E" w:rsidP="00D303EC">
      <w:pPr>
        <w:autoSpaceDE w:val="0"/>
        <w:autoSpaceDN w:val="0"/>
        <w:adjustRightInd w:val="0"/>
        <w:spacing w:before="0" w:after="120"/>
        <w:ind w:firstLine="709"/>
        <w:jc w:val="both"/>
        <w:rPr>
          <w:sz w:val="22"/>
          <w:szCs w:val="22"/>
        </w:rPr>
      </w:pPr>
      <w:r>
        <w:rPr>
          <w:sz w:val="22"/>
          <w:szCs w:val="22"/>
        </w:rPr>
        <w:t xml:space="preserve">[This </w:t>
      </w:r>
      <w:r w:rsidR="000332CB">
        <w:rPr>
          <w:sz w:val="22"/>
          <w:szCs w:val="22"/>
        </w:rPr>
        <w:t>SAFE</w:t>
      </w:r>
      <w:r>
        <w:rPr>
          <w:sz w:val="22"/>
          <w:szCs w:val="22"/>
        </w:rPr>
        <w:t xml:space="preserve"> is </w:t>
      </w:r>
      <w:r w:rsidR="006C0092">
        <w:rPr>
          <w:sz w:val="22"/>
          <w:szCs w:val="22"/>
        </w:rPr>
        <w:t xml:space="preserve">executed </w:t>
      </w:r>
      <w:r>
        <w:rPr>
          <w:sz w:val="22"/>
          <w:szCs w:val="22"/>
        </w:rPr>
        <w:t xml:space="preserve">by and between the Company and the Investor as part of </w:t>
      </w:r>
      <w:r w:rsidR="006C0092">
        <w:rPr>
          <w:sz w:val="22"/>
          <w:szCs w:val="22"/>
        </w:rPr>
        <w:t xml:space="preserve">the </w:t>
      </w:r>
      <w:r>
        <w:rPr>
          <w:sz w:val="22"/>
          <w:szCs w:val="22"/>
        </w:rPr>
        <w:t xml:space="preserve">execution by the Company of a series of related forms of </w:t>
      </w:r>
      <w:r w:rsidR="000332CB">
        <w:rPr>
          <w:sz w:val="22"/>
          <w:szCs w:val="22"/>
        </w:rPr>
        <w:t>SAFE</w:t>
      </w:r>
      <w:r w:rsidR="006C0092">
        <w:rPr>
          <w:sz w:val="22"/>
          <w:szCs w:val="22"/>
        </w:rPr>
        <w:t xml:space="preserve"> </w:t>
      </w:r>
      <w:r>
        <w:rPr>
          <w:sz w:val="22"/>
          <w:szCs w:val="22"/>
        </w:rPr>
        <w:t xml:space="preserve">[in the aggregate amount of up to $[___] (including this </w:t>
      </w:r>
      <w:r w:rsidR="000332CB">
        <w:rPr>
          <w:sz w:val="22"/>
          <w:szCs w:val="22"/>
        </w:rPr>
        <w:t>SAFE</w:t>
      </w:r>
      <w:r>
        <w:rPr>
          <w:sz w:val="22"/>
          <w:szCs w:val="22"/>
        </w:rPr>
        <w:t>)] having substantially the same terms, by and between the Company and additional investors on or around the date hereof but not later than [_] days of the date hereof</w:t>
      </w:r>
      <w:r w:rsidR="00147C09">
        <w:rPr>
          <w:sz w:val="22"/>
          <w:szCs w:val="22"/>
        </w:rPr>
        <w:t>.</w:t>
      </w:r>
      <w:r>
        <w:rPr>
          <w:sz w:val="22"/>
          <w:szCs w:val="22"/>
        </w:rPr>
        <w:t>]</w:t>
      </w:r>
    </w:p>
    <w:p w14:paraId="16A43876" w14:textId="5D6AD540" w:rsidR="00543E23" w:rsidRDefault="00945EAA" w:rsidP="00D303EC">
      <w:pPr>
        <w:autoSpaceDE w:val="0"/>
        <w:autoSpaceDN w:val="0"/>
        <w:adjustRightInd w:val="0"/>
        <w:spacing w:before="0" w:after="120"/>
        <w:ind w:firstLine="709"/>
        <w:jc w:val="both"/>
        <w:rPr>
          <w:sz w:val="22"/>
          <w:szCs w:val="22"/>
        </w:rPr>
      </w:pPr>
      <w:r>
        <w:rPr>
          <w:sz w:val="22"/>
          <w:szCs w:val="22"/>
        </w:rPr>
        <w:t xml:space="preserve">The </w:t>
      </w:r>
      <w:r w:rsidRPr="00C040DA">
        <w:rPr>
          <w:sz w:val="22"/>
          <w:szCs w:val="22"/>
        </w:rPr>
        <w:t>“</w:t>
      </w:r>
      <w:r w:rsidRPr="00C040DA">
        <w:rPr>
          <w:b/>
          <w:sz w:val="22"/>
          <w:szCs w:val="22"/>
        </w:rPr>
        <w:t>Valuation</w:t>
      </w:r>
      <w:r>
        <w:rPr>
          <w:b/>
          <w:sz w:val="22"/>
          <w:szCs w:val="22"/>
        </w:rPr>
        <w:t xml:space="preserve"> Cap</w:t>
      </w:r>
      <w:r w:rsidRPr="00C040DA">
        <w:rPr>
          <w:sz w:val="22"/>
          <w:szCs w:val="22"/>
        </w:rPr>
        <w:t xml:space="preserve">” </w:t>
      </w:r>
      <w:r>
        <w:rPr>
          <w:sz w:val="22"/>
          <w:szCs w:val="22"/>
        </w:rPr>
        <w:t>is</w:t>
      </w:r>
      <w:r w:rsidRPr="00C040DA">
        <w:rPr>
          <w:sz w:val="22"/>
          <w:szCs w:val="22"/>
        </w:rPr>
        <w:t xml:space="preserve"> $</w:t>
      </w:r>
      <w:r>
        <w:rPr>
          <w:sz w:val="22"/>
          <w:szCs w:val="22"/>
        </w:rPr>
        <w:t>[___________].</w:t>
      </w:r>
    </w:p>
    <w:p w14:paraId="3516C356" w14:textId="77777777" w:rsidR="00205089" w:rsidRPr="005203D9" w:rsidRDefault="00205089" w:rsidP="00D303EC">
      <w:pPr>
        <w:autoSpaceDE w:val="0"/>
        <w:autoSpaceDN w:val="0"/>
        <w:adjustRightInd w:val="0"/>
        <w:spacing w:before="0" w:after="120"/>
        <w:ind w:firstLine="709"/>
        <w:jc w:val="both"/>
        <w:rPr>
          <w:sz w:val="22"/>
          <w:szCs w:val="22"/>
        </w:rPr>
      </w:pPr>
      <w:r>
        <w:rPr>
          <w:sz w:val="22"/>
          <w:szCs w:val="22"/>
        </w:rPr>
        <w:t>The “</w:t>
      </w:r>
      <w:r w:rsidRPr="00205089">
        <w:rPr>
          <w:b/>
          <w:sz w:val="22"/>
          <w:szCs w:val="22"/>
        </w:rPr>
        <w:t>Discount Rate</w:t>
      </w:r>
      <w:r w:rsidR="00A825C7">
        <w:rPr>
          <w:sz w:val="22"/>
          <w:szCs w:val="22"/>
        </w:rPr>
        <w:t xml:space="preserve">” </w:t>
      </w:r>
      <w:r>
        <w:rPr>
          <w:sz w:val="22"/>
          <w:szCs w:val="22"/>
        </w:rPr>
        <w:t xml:space="preserve">is </w:t>
      </w:r>
      <w:r w:rsidR="00EC17C9">
        <w:rPr>
          <w:sz w:val="22"/>
          <w:szCs w:val="22"/>
        </w:rPr>
        <w:t>[</w:t>
      </w:r>
      <w:r w:rsidR="00EC17C9">
        <w:rPr>
          <w:i/>
          <w:sz w:val="22"/>
          <w:szCs w:val="22"/>
        </w:rPr>
        <w:t>100 minus the discount</w:t>
      </w:r>
      <w:r w:rsidR="00EC17C9">
        <w:rPr>
          <w:sz w:val="22"/>
          <w:szCs w:val="22"/>
        </w:rPr>
        <w:t>]</w:t>
      </w:r>
      <w:r w:rsidR="004A40A0">
        <w:rPr>
          <w:sz w:val="22"/>
          <w:szCs w:val="22"/>
        </w:rPr>
        <w:t>%.</w:t>
      </w:r>
    </w:p>
    <w:p w14:paraId="4550841F" w14:textId="77777777" w:rsidR="00E23215" w:rsidRDefault="00205089" w:rsidP="00D303EC">
      <w:pPr>
        <w:autoSpaceDE w:val="0"/>
        <w:autoSpaceDN w:val="0"/>
        <w:adjustRightInd w:val="0"/>
        <w:spacing w:before="0" w:after="120"/>
        <w:ind w:firstLine="709"/>
        <w:jc w:val="both"/>
        <w:rPr>
          <w:sz w:val="22"/>
          <w:szCs w:val="22"/>
        </w:rPr>
      </w:pPr>
      <w:r w:rsidRPr="005203D9">
        <w:rPr>
          <w:sz w:val="22"/>
          <w:szCs w:val="22"/>
        </w:rPr>
        <w:t xml:space="preserve">See </w:t>
      </w:r>
      <w:r w:rsidRPr="005203D9">
        <w:rPr>
          <w:b/>
          <w:sz w:val="22"/>
          <w:szCs w:val="22"/>
        </w:rPr>
        <w:t>Section 2</w:t>
      </w:r>
      <w:r w:rsidRPr="005203D9">
        <w:rPr>
          <w:sz w:val="22"/>
          <w:szCs w:val="22"/>
        </w:rPr>
        <w:t xml:space="preserve"> for </w:t>
      </w:r>
      <w:r>
        <w:rPr>
          <w:sz w:val="22"/>
          <w:szCs w:val="22"/>
        </w:rPr>
        <w:t>certain additional defined terms</w:t>
      </w:r>
      <w:r w:rsidRPr="005203D9">
        <w:rPr>
          <w:sz w:val="22"/>
          <w:szCs w:val="22"/>
        </w:rPr>
        <w:t>.</w:t>
      </w:r>
    </w:p>
    <w:p w14:paraId="3CE976D9" w14:textId="77777777" w:rsidR="00543E23" w:rsidRPr="00D303EC" w:rsidRDefault="002C16BC" w:rsidP="00DB6B67">
      <w:pPr>
        <w:pStyle w:val="ListParagraph"/>
        <w:numPr>
          <w:ilvl w:val="0"/>
          <w:numId w:val="3"/>
        </w:numPr>
        <w:autoSpaceDE w:val="0"/>
        <w:autoSpaceDN w:val="0"/>
        <w:adjustRightInd w:val="0"/>
        <w:spacing w:before="0" w:after="120"/>
        <w:ind w:left="0" w:firstLine="709"/>
        <w:jc w:val="both"/>
        <w:rPr>
          <w:b/>
          <w:i/>
          <w:sz w:val="22"/>
          <w:szCs w:val="22"/>
        </w:rPr>
      </w:pPr>
      <w:r w:rsidRPr="00D303EC">
        <w:rPr>
          <w:b/>
          <w:i/>
          <w:sz w:val="22"/>
          <w:szCs w:val="22"/>
        </w:rPr>
        <w:t>Events</w:t>
      </w:r>
    </w:p>
    <w:p w14:paraId="638137A6" w14:textId="0B411662" w:rsidR="003C0398" w:rsidRDefault="003C32C4" w:rsidP="00DB6B67">
      <w:pPr>
        <w:pStyle w:val="Def2Heading3"/>
        <w:numPr>
          <w:ilvl w:val="0"/>
          <w:numId w:val="4"/>
        </w:numPr>
        <w:spacing w:before="0" w:after="120"/>
        <w:ind w:left="0" w:firstLine="1418"/>
        <w:jc w:val="both"/>
        <w:rPr>
          <w:sz w:val="22"/>
          <w:szCs w:val="22"/>
        </w:rPr>
      </w:pPr>
      <w:r w:rsidRPr="00AA42A4">
        <w:rPr>
          <w:b/>
          <w:sz w:val="22"/>
          <w:szCs w:val="22"/>
        </w:rPr>
        <w:t>[</w:t>
      </w:r>
      <w:r w:rsidR="007010C4" w:rsidRPr="00AF496C">
        <w:rPr>
          <w:b/>
          <w:sz w:val="22"/>
          <w:szCs w:val="22"/>
          <w:u w:val="single"/>
        </w:rPr>
        <w:t>Equity</w:t>
      </w:r>
      <w:r w:rsidR="00AF496C" w:rsidRPr="00AF496C">
        <w:rPr>
          <w:b/>
          <w:sz w:val="22"/>
          <w:szCs w:val="22"/>
          <w:u w:val="single"/>
        </w:rPr>
        <w:t>/Qualified]</w:t>
      </w:r>
      <w:r w:rsidR="00AF496C">
        <w:rPr>
          <w:rStyle w:val="FootnoteReference"/>
          <w:b/>
          <w:sz w:val="22"/>
          <w:szCs w:val="22"/>
          <w:u w:val="single"/>
        </w:rPr>
        <w:footnoteReference w:id="1"/>
      </w:r>
      <w:r w:rsidR="007010C4" w:rsidRPr="00AF496C">
        <w:rPr>
          <w:b/>
          <w:sz w:val="22"/>
          <w:szCs w:val="22"/>
          <w:u w:val="single"/>
        </w:rPr>
        <w:t xml:space="preserve"> Financing</w:t>
      </w:r>
      <w:r w:rsidR="007010C4" w:rsidRPr="00AF496C">
        <w:rPr>
          <w:sz w:val="22"/>
          <w:szCs w:val="22"/>
        </w:rPr>
        <w:t xml:space="preserve">. If </w:t>
      </w:r>
      <w:r w:rsidR="006205EC" w:rsidRPr="00AF496C">
        <w:rPr>
          <w:sz w:val="22"/>
          <w:szCs w:val="22"/>
        </w:rPr>
        <w:t xml:space="preserve">an </w:t>
      </w:r>
      <w:r w:rsidR="007010C4" w:rsidRPr="00AF496C">
        <w:rPr>
          <w:sz w:val="22"/>
          <w:szCs w:val="22"/>
        </w:rPr>
        <w:t>Equity Financing</w:t>
      </w:r>
      <w:r w:rsidR="00C37EFF">
        <w:rPr>
          <w:sz w:val="22"/>
          <w:szCs w:val="22"/>
        </w:rPr>
        <w:t xml:space="preserve"> </w:t>
      </w:r>
      <w:r w:rsidR="00C37EFF">
        <w:rPr>
          <w:rFonts w:asciiTheme="majorBidi" w:hAnsiTheme="majorBidi" w:cstheme="majorBidi"/>
          <w:sz w:val="22"/>
          <w:szCs w:val="22"/>
        </w:rPr>
        <w:t>[</w:t>
      </w:r>
      <w:r w:rsidR="00C37EFF" w:rsidRPr="005A6326">
        <w:rPr>
          <w:rFonts w:asciiTheme="majorBidi" w:hAnsiTheme="majorBidi" w:cstheme="majorBidi"/>
          <w:sz w:val="22"/>
          <w:szCs w:val="22"/>
        </w:rPr>
        <w:t>that is a Qualified Financing</w:t>
      </w:r>
      <w:r w:rsidR="00C37EFF">
        <w:rPr>
          <w:rFonts w:asciiTheme="majorBidi" w:hAnsiTheme="majorBidi" w:cstheme="majorBidi"/>
          <w:sz w:val="22"/>
          <w:szCs w:val="22"/>
        </w:rPr>
        <w:t>]</w:t>
      </w:r>
      <w:r w:rsidR="007010C4" w:rsidRPr="00AF496C">
        <w:rPr>
          <w:sz w:val="22"/>
          <w:szCs w:val="22"/>
        </w:rPr>
        <w:t xml:space="preserve"> </w:t>
      </w:r>
      <w:r w:rsidR="009F1D7A">
        <w:rPr>
          <w:sz w:val="22"/>
          <w:szCs w:val="22"/>
        </w:rPr>
        <w:t>takes place prior to</w:t>
      </w:r>
      <w:r w:rsidR="009F1D7A" w:rsidRPr="00AF496C">
        <w:rPr>
          <w:sz w:val="22"/>
          <w:szCs w:val="22"/>
        </w:rPr>
        <w:t xml:space="preserve"> </w:t>
      </w:r>
      <w:r w:rsidR="007B1802" w:rsidRPr="00AF496C">
        <w:rPr>
          <w:sz w:val="22"/>
          <w:szCs w:val="22"/>
        </w:rPr>
        <w:t>the expiration or termination of this instrument</w:t>
      </w:r>
      <w:r w:rsidR="007010C4" w:rsidRPr="00AF496C">
        <w:rPr>
          <w:sz w:val="22"/>
          <w:szCs w:val="22"/>
        </w:rPr>
        <w:t xml:space="preserve">, </w:t>
      </w:r>
      <w:r w:rsidR="00547859" w:rsidRPr="00AF496C">
        <w:rPr>
          <w:sz w:val="22"/>
          <w:szCs w:val="22"/>
        </w:rPr>
        <w:t xml:space="preserve">the </w:t>
      </w:r>
      <w:r w:rsidR="00647219" w:rsidRPr="00AF496C">
        <w:rPr>
          <w:sz w:val="22"/>
          <w:szCs w:val="22"/>
        </w:rPr>
        <w:t>Company</w:t>
      </w:r>
      <w:r w:rsidR="00547859" w:rsidRPr="00AF496C">
        <w:rPr>
          <w:sz w:val="22"/>
          <w:szCs w:val="22"/>
        </w:rPr>
        <w:t xml:space="preserve"> </w:t>
      </w:r>
      <w:r w:rsidR="007010C4" w:rsidRPr="00AF496C">
        <w:rPr>
          <w:sz w:val="22"/>
          <w:szCs w:val="22"/>
        </w:rPr>
        <w:t xml:space="preserve">will automatically </w:t>
      </w:r>
      <w:r w:rsidR="00647219" w:rsidRPr="00AF496C">
        <w:rPr>
          <w:sz w:val="22"/>
          <w:szCs w:val="22"/>
        </w:rPr>
        <w:t xml:space="preserve">issue to the Investor </w:t>
      </w:r>
      <w:r w:rsidR="006549E5" w:rsidRPr="00AF496C">
        <w:rPr>
          <w:sz w:val="22"/>
          <w:szCs w:val="22"/>
        </w:rPr>
        <w:t xml:space="preserve">a number of shares of </w:t>
      </w:r>
      <w:r w:rsidR="000332CB">
        <w:rPr>
          <w:sz w:val="22"/>
          <w:szCs w:val="22"/>
        </w:rPr>
        <w:t>SAFE</w:t>
      </w:r>
      <w:r w:rsidR="00181C15" w:rsidRPr="00AF496C">
        <w:rPr>
          <w:sz w:val="22"/>
          <w:szCs w:val="22"/>
        </w:rPr>
        <w:t xml:space="preserve"> Preferred </w:t>
      </w:r>
      <w:r w:rsidR="00815AAF" w:rsidRPr="00AF496C">
        <w:rPr>
          <w:sz w:val="22"/>
          <w:szCs w:val="22"/>
        </w:rPr>
        <w:t>Shares</w:t>
      </w:r>
      <w:r w:rsidR="004A008C" w:rsidRPr="00AF496C">
        <w:rPr>
          <w:sz w:val="22"/>
          <w:szCs w:val="22"/>
        </w:rPr>
        <w:t xml:space="preserve"> equal to the Purchase Amount</w:t>
      </w:r>
      <w:r w:rsidR="00181C15" w:rsidRPr="00AF496C">
        <w:rPr>
          <w:sz w:val="22"/>
          <w:szCs w:val="22"/>
        </w:rPr>
        <w:t xml:space="preserve"> divided by </w:t>
      </w:r>
      <w:r w:rsidR="00EB1731" w:rsidRPr="00AF496C">
        <w:rPr>
          <w:sz w:val="22"/>
          <w:szCs w:val="22"/>
        </w:rPr>
        <w:t>the Conversion Price.</w:t>
      </w:r>
      <w:r w:rsidR="00714752">
        <w:rPr>
          <w:sz w:val="22"/>
          <w:szCs w:val="22"/>
        </w:rPr>
        <w:t xml:space="preserve"> </w:t>
      </w:r>
    </w:p>
    <w:p w14:paraId="5A169B90" w14:textId="3E8E57D6" w:rsidR="00074597" w:rsidRDefault="008242D7" w:rsidP="00DB6B67">
      <w:pPr>
        <w:pStyle w:val="Def2Heading3"/>
        <w:numPr>
          <w:ilvl w:val="0"/>
          <w:numId w:val="4"/>
        </w:numPr>
        <w:spacing w:before="0" w:after="120"/>
        <w:ind w:left="0" w:firstLine="1418"/>
        <w:jc w:val="both"/>
        <w:rPr>
          <w:rFonts w:asciiTheme="majorBidi" w:hAnsiTheme="majorBidi" w:cstheme="majorBidi"/>
          <w:sz w:val="22"/>
          <w:szCs w:val="22"/>
        </w:rPr>
      </w:pPr>
      <w:r w:rsidRPr="008242D7">
        <w:rPr>
          <w:rFonts w:asciiTheme="majorBidi" w:hAnsiTheme="majorBidi" w:cstheme="majorBidi"/>
          <w:b/>
          <w:bCs/>
          <w:sz w:val="22"/>
          <w:szCs w:val="22"/>
          <w:u w:val="single"/>
        </w:rPr>
        <w:t>[</w:t>
      </w:r>
      <w:r w:rsidR="00074597" w:rsidRPr="008242D7">
        <w:rPr>
          <w:rFonts w:asciiTheme="majorBidi" w:hAnsiTheme="majorBidi" w:cstheme="majorBidi"/>
          <w:b/>
          <w:bCs/>
          <w:sz w:val="22"/>
          <w:szCs w:val="22"/>
          <w:u w:val="single"/>
        </w:rPr>
        <w:t>Non-Qualified Financing</w:t>
      </w:r>
      <w:r w:rsidR="00074597" w:rsidRPr="00074597">
        <w:rPr>
          <w:rFonts w:asciiTheme="majorBidi" w:hAnsiTheme="majorBidi" w:cstheme="majorBidi"/>
          <w:sz w:val="22"/>
          <w:szCs w:val="22"/>
        </w:rPr>
        <w:t xml:space="preserve">. Notwithstanding the foregoing or anything to the contrary in this instrument, in </w:t>
      </w:r>
      <w:r w:rsidR="00E855BE">
        <w:rPr>
          <w:rFonts w:asciiTheme="majorBidi" w:hAnsiTheme="majorBidi" w:cstheme="majorBidi"/>
          <w:sz w:val="22"/>
          <w:szCs w:val="22"/>
        </w:rPr>
        <w:t xml:space="preserve">the </w:t>
      </w:r>
      <w:r w:rsidR="00074597" w:rsidRPr="00074597">
        <w:rPr>
          <w:rFonts w:asciiTheme="majorBidi" w:hAnsiTheme="majorBidi" w:cstheme="majorBidi"/>
          <w:sz w:val="22"/>
          <w:szCs w:val="22"/>
        </w:rPr>
        <w:t xml:space="preserve">case of a Non-Qualified Financing, </w:t>
      </w:r>
      <w:r w:rsidR="000332CB">
        <w:rPr>
          <w:rFonts w:asciiTheme="majorBidi" w:hAnsiTheme="majorBidi" w:cstheme="majorBidi"/>
          <w:sz w:val="22"/>
          <w:szCs w:val="22"/>
        </w:rPr>
        <w:t xml:space="preserve">the </w:t>
      </w:r>
      <w:r w:rsidR="00074597" w:rsidRPr="00074597">
        <w:rPr>
          <w:rFonts w:asciiTheme="majorBidi" w:hAnsiTheme="majorBidi" w:cstheme="majorBidi"/>
          <w:sz w:val="22"/>
          <w:szCs w:val="22"/>
        </w:rPr>
        <w:t xml:space="preserve">Investor shall have the </w:t>
      </w:r>
      <w:r w:rsidR="007325FA">
        <w:rPr>
          <w:rFonts w:asciiTheme="majorBidi" w:hAnsiTheme="majorBidi" w:cstheme="majorBidi"/>
          <w:sz w:val="22"/>
          <w:szCs w:val="22"/>
        </w:rPr>
        <w:t>right</w:t>
      </w:r>
      <w:r w:rsidR="00074597" w:rsidRPr="00074597">
        <w:rPr>
          <w:rFonts w:asciiTheme="majorBidi" w:hAnsiTheme="majorBidi" w:cstheme="majorBidi"/>
          <w:sz w:val="22"/>
          <w:szCs w:val="22"/>
        </w:rPr>
        <w:t xml:space="preserve">, but not the obligation, to convert the </w:t>
      </w:r>
      <w:r w:rsidR="00147C09">
        <w:rPr>
          <w:rFonts w:asciiTheme="majorBidi" w:hAnsiTheme="majorBidi" w:cstheme="majorBidi"/>
          <w:sz w:val="22"/>
          <w:szCs w:val="22"/>
        </w:rPr>
        <w:t>[</w:t>
      </w:r>
      <w:r w:rsidR="00074597" w:rsidRPr="00074597">
        <w:rPr>
          <w:rFonts w:asciiTheme="majorBidi" w:hAnsiTheme="majorBidi" w:cstheme="majorBidi"/>
          <w:sz w:val="22"/>
          <w:szCs w:val="22"/>
        </w:rPr>
        <w:t>entire</w:t>
      </w:r>
      <w:r w:rsidR="00147C09">
        <w:rPr>
          <w:rFonts w:asciiTheme="majorBidi" w:hAnsiTheme="majorBidi" w:cstheme="majorBidi"/>
          <w:sz w:val="22"/>
          <w:szCs w:val="22"/>
        </w:rPr>
        <w:t>]</w:t>
      </w:r>
      <w:r w:rsidR="00074597" w:rsidRPr="00074597">
        <w:rPr>
          <w:rFonts w:asciiTheme="majorBidi" w:hAnsiTheme="majorBidi" w:cstheme="majorBidi"/>
          <w:sz w:val="22"/>
          <w:szCs w:val="22"/>
        </w:rPr>
        <w:t xml:space="preserve"> Purchase Amount pursuant to Section 1(a)(i) above (treating the Non-Qualified Financing as a Qualified Financing), by a written notice to be provided to the Company by no later than </w:t>
      </w:r>
      <w:r w:rsidR="00147C09">
        <w:rPr>
          <w:rFonts w:asciiTheme="majorBidi" w:hAnsiTheme="majorBidi" w:cstheme="majorBidi"/>
          <w:sz w:val="22"/>
          <w:szCs w:val="22"/>
        </w:rPr>
        <w:t>[</w:t>
      </w:r>
      <w:r w:rsidR="00074597" w:rsidRPr="00074597">
        <w:rPr>
          <w:rFonts w:asciiTheme="majorBidi" w:hAnsiTheme="majorBidi" w:cstheme="majorBidi"/>
          <w:sz w:val="22"/>
          <w:szCs w:val="22"/>
        </w:rPr>
        <w:t>three (3)</w:t>
      </w:r>
      <w:r w:rsidR="00147C09">
        <w:rPr>
          <w:rFonts w:asciiTheme="majorBidi" w:hAnsiTheme="majorBidi" w:cstheme="majorBidi"/>
          <w:sz w:val="22"/>
          <w:szCs w:val="22"/>
        </w:rPr>
        <w:t>]</w:t>
      </w:r>
      <w:r w:rsidR="00074597" w:rsidRPr="00074597">
        <w:rPr>
          <w:rFonts w:asciiTheme="majorBidi" w:hAnsiTheme="majorBidi" w:cstheme="majorBidi"/>
          <w:sz w:val="22"/>
          <w:szCs w:val="22"/>
        </w:rPr>
        <w:t xml:space="preserve"> business days from the delivery of the Company’s notice of the Non-Qualified Financing to the Investor, which will include the investment amount, the Company’s valuation</w:t>
      </w:r>
      <w:r w:rsidR="007325FA">
        <w:rPr>
          <w:rFonts w:asciiTheme="majorBidi" w:hAnsiTheme="majorBidi" w:cstheme="majorBidi"/>
          <w:sz w:val="22"/>
          <w:szCs w:val="22"/>
        </w:rPr>
        <w:t>,</w:t>
      </w:r>
      <w:r w:rsidR="00074597" w:rsidRPr="00074597">
        <w:rPr>
          <w:rFonts w:asciiTheme="majorBidi" w:hAnsiTheme="majorBidi" w:cstheme="majorBidi"/>
          <w:sz w:val="22"/>
          <w:szCs w:val="22"/>
        </w:rPr>
        <w:t xml:space="preserve"> the type of shares to be issued and any other material payment terms then known to the Company (which notice shall be provided by the Company as promptly as possible, but in any event at least </w:t>
      </w:r>
      <w:r w:rsidR="00147C09">
        <w:rPr>
          <w:rFonts w:asciiTheme="majorBidi" w:hAnsiTheme="majorBidi" w:cstheme="majorBidi"/>
          <w:sz w:val="22"/>
          <w:szCs w:val="22"/>
        </w:rPr>
        <w:t>[</w:t>
      </w:r>
      <w:r w:rsidR="00074597" w:rsidRPr="00074597">
        <w:rPr>
          <w:rFonts w:asciiTheme="majorBidi" w:hAnsiTheme="majorBidi" w:cstheme="majorBidi"/>
          <w:sz w:val="22"/>
          <w:szCs w:val="22"/>
        </w:rPr>
        <w:t>five (5)</w:t>
      </w:r>
      <w:r w:rsidR="00147C09">
        <w:rPr>
          <w:rFonts w:asciiTheme="majorBidi" w:hAnsiTheme="majorBidi" w:cstheme="majorBidi"/>
          <w:sz w:val="22"/>
          <w:szCs w:val="22"/>
        </w:rPr>
        <w:t>]</w:t>
      </w:r>
      <w:r w:rsidR="00074597" w:rsidRPr="00074597">
        <w:rPr>
          <w:rFonts w:asciiTheme="majorBidi" w:hAnsiTheme="majorBidi" w:cstheme="majorBidi"/>
          <w:sz w:val="22"/>
          <w:szCs w:val="22"/>
        </w:rPr>
        <w:t xml:space="preserve"> business days prior to the closing of the Non-Qualified Financing). The Company shall also provide the Investor such other information regarding the terms of the Non-Qualified Financing </w:t>
      </w:r>
      <w:r w:rsidR="007325FA">
        <w:rPr>
          <w:rFonts w:asciiTheme="majorBidi" w:hAnsiTheme="majorBidi" w:cstheme="majorBidi"/>
          <w:sz w:val="22"/>
          <w:szCs w:val="22"/>
        </w:rPr>
        <w:t xml:space="preserve">as </w:t>
      </w:r>
      <w:r w:rsidR="00074597" w:rsidRPr="00074597">
        <w:rPr>
          <w:rFonts w:asciiTheme="majorBidi" w:hAnsiTheme="majorBidi" w:cstheme="majorBidi"/>
          <w:sz w:val="22"/>
          <w:szCs w:val="22"/>
        </w:rPr>
        <w:t xml:space="preserve">reasonably requested by the Investor and available to the Company. If the Investor fails to provide the Company with written notice </w:t>
      </w:r>
      <w:r w:rsidR="000332CB">
        <w:rPr>
          <w:rFonts w:asciiTheme="majorBidi" w:hAnsiTheme="majorBidi" w:cstheme="majorBidi"/>
          <w:sz w:val="22"/>
          <w:szCs w:val="22"/>
        </w:rPr>
        <w:t>on or prior to such date</w:t>
      </w:r>
      <w:r w:rsidR="00074597" w:rsidRPr="00074597">
        <w:rPr>
          <w:rFonts w:asciiTheme="majorBidi" w:hAnsiTheme="majorBidi" w:cstheme="majorBidi"/>
          <w:sz w:val="22"/>
          <w:szCs w:val="22"/>
        </w:rPr>
        <w:t xml:space="preserve">, this instrument will continue in full force and effect in accordance with its terms </w:t>
      </w:r>
      <w:r w:rsidR="000332CB">
        <w:rPr>
          <w:rFonts w:asciiTheme="majorBidi" w:hAnsiTheme="majorBidi" w:cstheme="majorBidi"/>
          <w:sz w:val="22"/>
          <w:szCs w:val="22"/>
        </w:rPr>
        <w:t>notwithstanding the</w:t>
      </w:r>
      <w:r w:rsidR="00074597" w:rsidRPr="00074597">
        <w:rPr>
          <w:rFonts w:asciiTheme="majorBidi" w:hAnsiTheme="majorBidi" w:cstheme="majorBidi"/>
          <w:sz w:val="22"/>
          <w:szCs w:val="22"/>
        </w:rPr>
        <w:t xml:space="preserve"> Non-Qualified Financing.</w:t>
      </w:r>
      <w:r>
        <w:rPr>
          <w:rFonts w:asciiTheme="majorBidi" w:hAnsiTheme="majorBidi" w:cstheme="majorBidi"/>
          <w:sz w:val="22"/>
          <w:szCs w:val="22"/>
        </w:rPr>
        <w:t>]</w:t>
      </w:r>
      <w:r w:rsidR="00074597" w:rsidRPr="00074597">
        <w:rPr>
          <w:rStyle w:val="FootnoteReference"/>
          <w:sz w:val="22"/>
          <w:szCs w:val="22"/>
        </w:rPr>
        <w:footnoteReference w:id="2"/>
      </w:r>
    </w:p>
    <w:p w14:paraId="6EE4A7A4" w14:textId="42791846" w:rsidR="00732359" w:rsidRDefault="00732359" w:rsidP="00DB6B67">
      <w:pPr>
        <w:spacing w:after="120"/>
        <w:ind w:firstLine="1418"/>
        <w:jc w:val="both"/>
      </w:pPr>
      <w:r w:rsidRPr="00074597">
        <w:rPr>
          <w:sz w:val="22"/>
          <w:szCs w:val="22"/>
        </w:rPr>
        <w:lastRenderedPageBreak/>
        <w:t xml:space="preserve">In connection with the conversion of this </w:t>
      </w:r>
      <w:r w:rsidR="000332CB">
        <w:rPr>
          <w:sz w:val="22"/>
          <w:szCs w:val="22"/>
        </w:rPr>
        <w:t>SAFE</w:t>
      </w:r>
      <w:r w:rsidRPr="00074597">
        <w:rPr>
          <w:sz w:val="22"/>
          <w:szCs w:val="22"/>
        </w:rPr>
        <w:t xml:space="preserve"> into shares of </w:t>
      </w:r>
      <w:r w:rsidR="000332CB">
        <w:rPr>
          <w:sz w:val="22"/>
          <w:szCs w:val="22"/>
        </w:rPr>
        <w:t>SAFE</w:t>
      </w:r>
      <w:r w:rsidRPr="00074597">
        <w:rPr>
          <w:sz w:val="22"/>
          <w:szCs w:val="22"/>
        </w:rPr>
        <w:t xml:space="preserve"> Preferred Shares</w:t>
      </w:r>
      <w:r w:rsidR="005E30B1">
        <w:rPr>
          <w:sz w:val="22"/>
          <w:szCs w:val="22"/>
        </w:rPr>
        <w:t xml:space="preserve"> </w:t>
      </w:r>
      <w:r w:rsidR="005E30B1">
        <w:rPr>
          <w:rFonts w:asciiTheme="majorBidi" w:hAnsiTheme="majorBidi"/>
          <w:sz w:val="22"/>
        </w:rPr>
        <w:t xml:space="preserve">pursuant </w:t>
      </w:r>
      <w:r w:rsidR="000332CB">
        <w:rPr>
          <w:rFonts w:asciiTheme="majorBidi" w:hAnsiTheme="majorBidi"/>
          <w:sz w:val="22"/>
        </w:rPr>
        <w:t xml:space="preserve">to </w:t>
      </w:r>
      <w:r w:rsidR="005E30B1" w:rsidRPr="00E74604">
        <w:rPr>
          <w:rFonts w:asciiTheme="majorBidi" w:hAnsiTheme="majorBidi"/>
          <w:sz w:val="22"/>
        </w:rPr>
        <w:t>Section</w:t>
      </w:r>
      <w:r w:rsidR="00E03696">
        <w:rPr>
          <w:rFonts w:asciiTheme="majorBidi" w:hAnsiTheme="majorBidi"/>
          <w:sz w:val="22"/>
        </w:rPr>
        <w:t>[</w:t>
      </w:r>
      <w:r w:rsidR="005E30B1">
        <w:rPr>
          <w:rFonts w:asciiTheme="majorBidi" w:hAnsiTheme="majorBidi"/>
          <w:sz w:val="22"/>
        </w:rPr>
        <w:t>s</w:t>
      </w:r>
      <w:r w:rsidR="00E03696">
        <w:rPr>
          <w:rFonts w:asciiTheme="majorBidi" w:hAnsiTheme="majorBidi"/>
          <w:sz w:val="22"/>
        </w:rPr>
        <w:t>]</w:t>
      </w:r>
      <w:r w:rsidR="005E30B1" w:rsidRPr="00E74604">
        <w:rPr>
          <w:rFonts w:asciiTheme="majorBidi" w:hAnsiTheme="majorBidi"/>
          <w:sz w:val="22"/>
        </w:rPr>
        <w:t xml:space="preserve"> 1(</w:t>
      </w:r>
      <w:r w:rsidR="005E30B1">
        <w:rPr>
          <w:sz w:val="22"/>
          <w:szCs w:val="22"/>
        </w:rPr>
        <w:t>a</w:t>
      </w:r>
      <w:r w:rsidR="005E30B1" w:rsidRPr="00E74604">
        <w:rPr>
          <w:rFonts w:asciiTheme="majorBidi" w:hAnsiTheme="majorBidi"/>
          <w:sz w:val="22"/>
        </w:rPr>
        <w:t>)</w:t>
      </w:r>
      <w:r w:rsidR="005E30B1">
        <w:rPr>
          <w:rFonts w:asciiTheme="majorBidi" w:hAnsiTheme="majorBidi"/>
          <w:sz w:val="22"/>
        </w:rPr>
        <w:t xml:space="preserve"> </w:t>
      </w:r>
      <w:r w:rsidR="00E03696">
        <w:rPr>
          <w:rFonts w:asciiTheme="majorBidi" w:hAnsiTheme="majorBidi"/>
          <w:sz w:val="22"/>
        </w:rPr>
        <w:t>[</w:t>
      </w:r>
      <w:r w:rsidR="005E30B1">
        <w:rPr>
          <w:rFonts w:asciiTheme="majorBidi" w:hAnsiTheme="majorBidi"/>
          <w:sz w:val="22"/>
        </w:rPr>
        <w:t>or (b)</w:t>
      </w:r>
      <w:r w:rsidR="00E03696">
        <w:rPr>
          <w:rFonts w:asciiTheme="majorBidi" w:hAnsiTheme="majorBidi"/>
          <w:sz w:val="22"/>
        </w:rPr>
        <w:t>]</w:t>
      </w:r>
      <w:r w:rsidR="005E30B1" w:rsidRPr="00E74604">
        <w:rPr>
          <w:rFonts w:asciiTheme="majorBidi" w:hAnsiTheme="majorBidi"/>
          <w:sz w:val="22"/>
        </w:rPr>
        <w:t xml:space="preserve"> </w:t>
      </w:r>
      <w:r w:rsidR="005E30B1">
        <w:rPr>
          <w:rFonts w:asciiTheme="majorBidi" w:hAnsiTheme="majorBidi"/>
          <w:sz w:val="22"/>
        </w:rPr>
        <w:t>above</w:t>
      </w:r>
      <w:r w:rsidRPr="00074597">
        <w:rPr>
          <w:sz w:val="22"/>
          <w:szCs w:val="22"/>
        </w:rPr>
        <w:t xml:space="preserve">, the Investor will execute and deliver to the Company all of the transaction documents related to the Equity Financing; </w:t>
      </w:r>
      <w:r w:rsidRPr="00074597">
        <w:rPr>
          <w:i/>
          <w:sz w:val="22"/>
          <w:szCs w:val="22"/>
        </w:rPr>
        <w:t xml:space="preserve">provided, </w:t>
      </w:r>
      <w:r w:rsidRPr="00074597">
        <w:rPr>
          <w:sz w:val="22"/>
          <w:szCs w:val="22"/>
        </w:rPr>
        <w:t xml:space="preserve">that such documents are the same documents to be entered into with the purchasers of Standard Preferred Shares, with appropriate variations for the </w:t>
      </w:r>
      <w:r w:rsidR="000332CB">
        <w:rPr>
          <w:sz w:val="22"/>
          <w:szCs w:val="22"/>
        </w:rPr>
        <w:t>SAFE</w:t>
      </w:r>
      <w:r w:rsidRPr="00074597">
        <w:rPr>
          <w:sz w:val="22"/>
          <w:szCs w:val="22"/>
        </w:rPr>
        <w:t xml:space="preserve"> Preferred Shares, if applicable, and </w:t>
      </w:r>
      <w:r w:rsidRPr="00074597">
        <w:rPr>
          <w:i/>
          <w:sz w:val="22"/>
          <w:szCs w:val="22"/>
        </w:rPr>
        <w:t>provided further,</w:t>
      </w:r>
      <w:r w:rsidRPr="00074597">
        <w:rPr>
          <w:sz w:val="22"/>
          <w:szCs w:val="22"/>
        </w:rPr>
        <w:t xml:space="preserve"> that such documents have customary exceptions to any drag-along/bring-along applicable to the Investor, including, without limitation, limited representations and warranties and limited liability and indemnification obligations on the part of the Investor</w:t>
      </w:r>
      <w:r>
        <w:t>.</w:t>
      </w:r>
    </w:p>
    <w:p w14:paraId="74C63A85" w14:textId="5B5B7B39" w:rsidR="00074597" w:rsidRDefault="00C41CCF" w:rsidP="00DB6B67">
      <w:pPr>
        <w:pStyle w:val="Def2Heading3"/>
        <w:numPr>
          <w:ilvl w:val="0"/>
          <w:numId w:val="4"/>
        </w:numPr>
        <w:spacing w:before="0" w:after="120"/>
        <w:ind w:left="0" w:firstLine="1418"/>
        <w:jc w:val="both"/>
      </w:pPr>
      <w:r>
        <w:rPr>
          <w:b/>
          <w:bCs/>
          <w:sz w:val="22"/>
          <w:szCs w:val="22"/>
          <w:u w:val="single"/>
        </w:rPr>
        <w:t xml:space="preserve"> </w:t>
      </w:r>
      <w:r w:rsidR="008242D7">
        <w:rPr>
          <w:b/>
          <w:bCs/>
          <w:sz w:val="22"/>
          <w:szCs w:val="22"/>
          <w:u w:val="single"/>
        </w:rPr>
        <w:t>[</w:t>
      </w:r>
      <w:r w:rsidR="00074597" w:rsidRPr="00074597">
        <w:rPr>
          <w:b/>
          <w:bCs/>
          <w:sz w:val="22"/>
          <w:szCs w:val="22"/>
          <w:u w:val="single"/>
        </w:rPr>
        <w:t>Maturity Conversion</w:t>
      </w:r>
      <w:r w:rsidR="00074597" w:rsidRPr="00074597">
        <w:rPr>
          <w:sz w:val="22"/>
          <w:szCs w:val="22"/>
        </w:rPr>
        <w:t xml:space="preserve">. If this </w:t>
      </w:r>
      <w:r w:rsidR="000332CB">
        <w:rPr>
          <w:sz w:val="22"/>
          <w:szCs w:val="22"/>
        </w:rPr>
        <w:t>SAFE</w:t>
      </w:r>
      <w:r w:rsidR="00074597" w:rsidRPr="00074597">
        <w:rPr>
          <w:sz w:val="22"/>
          <w:szCs w:val="22"/>
        </w:rPr>
        <w:t xml:space="preserve"> is not terminated prior to [_____] (the “</w:t>
      </w:r>
      <w:r w:rsidR="00074597" w:rsidRPr="00074597">
        <w:rPr>
          <w:b/>
          <w:bCs/>
          <w:sz w:val="22"/>
          <w:szCs w:val="22"/>
        </w:rPr>
        <w:t>Maturity Date</w:t>
      </w:r>
      <w:r w:rsidR="00074597" w:rsidRPr="00074597">
        <w:rPr>
          <w:sz w:val="22"/>
          <w:szCs w:val="22"/>
        </w:rPr>
        <w:t xml:space="preserve">”), then the Investor shall have </w:t>
      </w:r>
      <w:r w:rsidR="00E03696">
        <w:rPr>
          <w:sz w:val="22"/>
          <w:szCs w:val="22"/>
        </w:rPr>
        <w:t>the</w:t>
      </w:r>
      <w:r w:rsidR="00E03696" w:rsidRPr="00074597">
        <w:rPr>
          <w:sz w:val="22"/>
          <w:szCs w:val="22"/>
        </w:rPr>
        <w:t xml:space="preserve"> </w:t>
      </w:r>
      <w:r w:rsidR="00074597" w:rsidRPr="00074597">
        <w:rPr>
          <w:sz w:val="22"/>
          <w:szCs w:val="22"/>
        </w:rPr>
        <w:t xml:space="preserve">right but not </w:t>
      </w:r>
      <w:r w:rsidR="00E03696">
        <w:rPr>
          <w:sz w:val="22"/>
          <w:szCs w:val="22"/>
        </w:rPr>
        <w:t>the</w:t>
      </w:r>
      <w:r w:rsidR="00E03696" w:rsidRPr="00074597">
        <w:rPr>
          <w:sz w:val="22"/>
          <w:szCs w:val="22"/>
        </w:rPr>
        <w:t xml:space="preserve"> </w:t>
      </w:r>
      <w:r w:rsidR="00074597" w:rsidRPr="00074597">
        <w:rPr>
          <w:sz w:val="22"/>
          <w:szCs w:val="22"/>
        </w:rPr>
        <w:t xml:space="preserve">obligation, at its election at any time after the Maturity Date, to convert the outstanding Purchase Amount into shares of the most senior class of preferred shares of the Company then outstanding, in a number equal to the Purchase Amount divided by either (i) </w:t>
      </w:r>
      <w:r w:rsidR="00147C09">
        <w:rPr>
          <w:sz w:val="22"/>
          <w:szCs w:val="22"/>
        </w:rPr>
        <w:t>$</w:t>
      </w:r>
      <w:r w:rsidR="00074597" w:rsidRPr="00074597">
        <w:rPr>
          <w:sz w:val="22"/>
          <w:szCs w:val="22"/>
        </w:rPr>
        <w:t>[]</w:t>
      </w:r>
      <w:r w:rsidR="00147C09">
        <w:rPr>
          <w:sz w:val="22"/>
          <w:szCs w:val="22"/>
        </w:rPr>
        <w:t xml:space="preserve"> per share</w:t>
      </w:r>
      <w:r w:rsidR="00074597" w:rsidRPr="00074597">
        <w:rPr>
          <w:sz w:val="22"/>
          <w:szCs w:val="22"/>
        </w:rPr>
        <w:t xml:space="preserve">, or (ii) if the Company’s tax advisor advises that conversion pursuant to subsection (i) above may result in the </w:t>
      </w:r>
      <w:r w:rsidR="000332CB">
        <w:rPr>
          <w:sz w:val="22"/>
          <w:szCs w:val="22"/>
        </w:rPr>
        <w:t>SAFE</w:t>
      </w:r>
      <w:r w:rsidR="00074597" w:rsidRPr="00074597">
        <w:rPr>
          <w:sz w:val="22"/>
          <w:szCs w:val="22"/>
        </w:rPr>
        <w:t xml:space="preserve"> </w:t>
      </w:r>
      <w:r w:rsidR="009F1D7A">
        <w:rPr>
          <w:sz w:val="22"/>
          <w:szCs w:val="22"/>
        </w:rPr>
        <w:t>being</w:t>
      </w:r>
      <w:r w:rsidR="00074597" w:rsidRPr="00074597">
        <w:rPr>
          <w:sz w:val="22"/>
          <w:szCs w:val="22"/>
        </w:rPr>
        <w:t xml:space="preserve"> deemed</w:t>
      </w:r>
      <w:r w:rsidR="009F1D7A">
        <w:rPr>
          <w:sz w:val="22"/>
          <w:szCs w:val="22"/>
        </w:rPr>
        <w:t xml:space="preserve"> a</w:t>
      </w:r>
      <w:r w:rsidR="00074597" w:rsidRPr="00074597">
        <w:rPr>
          <w:sz w:val="22"/>
          <w:szCs w:val="22"/>
        </w:rPr>
        <w:t xml:space="preserve"> “debt” (rather than “equity”) </w:t>
      </w:r>
      <w:r w:rsidR="009F1D7A">
        <w:rPr>
          <w:sz w:val="22"/>
          <w:szCs w:val="22"/>
        </w:rPr>
        <w:t xml:space="preserve">instrument </w:t>
      </w:r>
      <w:r w:rsidR="00074597" w:rsidRPr="00074597">
        <w:rPr>
          <w:sz w:val="22"/>
          <w:szCs w:val="22"/>
        </w:rPr>
        <w:t xml:space="preserve">by the </w:t>
      </w:r>
      <w:r w:rsidR="00147C09">
        <w:rPr>
          <w:sz w:val="22"/>
          <w:szCs w:val="22"/>
        </w:rPr>
        <w:t>ITA</w:t>
      </w:r>
      <w:r w:rsidR="00074597" w:rsidRPr="00074597">
        <w:rPr>
          <w:sz w:val="22"/>
          <w:szCs w:val="22"/>
        </w:rPr>
        <w:t xml:space="preserve">, the </w:t>
      </w:r>
      <w:r w:rsidR="00074597" w:rsidRPr="00074597">
        <w:rPr>
          <w:bCs/>
          <w:sz w:val="22"/>
          <w:szCs w:val="22"/>
        </w:rPr>
        <w:t xml:space="preserve">price per share paid by investors for such type of </w:t>
      </w:r>
      <w:r w:rsidR="00074597" w:rsidRPr="00074597">
        <w:rPr>
          <w:sz w:val="22"/>
          <w:szCs w:val="22"/>
        </w:rPr>
        <w:t>preferred shares at the last equity financing round consummated by the Company prior to such conversion (taking into account, for purpose of this calculation, any applicable discounts).</w:t>
      </w:r>
      <w:r w:rsidR="008242D7">
        <w:rPr>
          <w:sz w:val="22"/>
          <w:szCs w:val="22"/>
        </w:rPr>
        <w:t>]</w:t>
      </w:r>
      <w:r w:rsidR="00074597" w:rsidRPr="00074597">
        <w:rPr>
          <w:rStyle w:val="FootnoteReference"/>
          <w:bCs/>
          <w:sz w:val="22"/>
          <w:szCs w:val="22"/>
        </w:rPr>
        <w:footnoteReference w:id="3"/>
      </w:r>
      <w:r w:rsidR="00074597" w:rsidRPr="00074597">
        <w:t xml:space="preserve"> </w:t>
      </w:r>
    </w:p>
    <w:p w14:paraId="46BF395D" w14:textId="1EDB9EAC" w:rsidR="0082473F" w:rsidRDefault="00132B42" w:rsidP="00DB6B67">
      <w:pPr>
        <w:pStyle w:val="Def2Heading3"/>
        <w:numPr>
          <w:ilvl w:val="0"/>
          <w:numId w:val="4"/>
        </w:numPr>
        <w:spacing w:before="0" w:after="120"/>
        <w:ind w:left="0" w:firstLine="1418"/>
        <w:jc w:val="both"/>
      </w:pPr>
      <w:bookmarkStart w:id="1" w:name="_Hlk150858836"/>
      <w:r w:rsidRPr="00074597">
        <w:rPr>
          <w:b/>
          <w:sz w:val="22"/>
          <w:szCs w:val="22"/>
          <w:u w:val="single"/>
        </w:rPr>
        <w:t>Liquidity Event</w:t>
      </w:r>
      <w:r w:rsidR="004061DC" w:rsidRPr="00074597">
        <w:rPr>
          <w:sz w:val="22"/>
          <w:szCs w:val="22"/>
        </w:rPr>
        <w:t>.</w:t>
      </w:r>
      <w:r w:rsidR="00714752" w:rsidRPr="00074597">
        <w:rPr>
          <w:rFonts w:asciiTheme="majorBidi" w:hAnsiTheme="majorBidi"/>
          <w:sz w:val="22"/>
        </w:rPr>
        <w:t xml:space="preserve"> </w:t>
      </w:r>
      <w:r w:rsidR="0082473F" w:rsidRPr="00074597">
        <w:rPr>
          <w:rFonts w:asciiTheme="majorBidi" w:hAnsiTheme="majorBidi"/>
          <w:sz w:val="22"/>
        </w:rPr>
        <w:t>[</w:t>
      </w:r>
      <w:r w:rsidR="009F1D7A">
        <w:rPr>
          <w:rFonts w:asciiTheme="majorBidi" w:hAnsiTheme="majorBidi"/>
          <w:sz w:val="22"/>
        </w:rPr>
        <w:t xml:space="preserve">In the </w:t>
      </w:r>
      <w:r w:rsidR="00E855BE">
        <w:rPr>
          <w:rFonts w:asciiTheme="majorBidi" w:hAnsiTheme="majorBidi"/>
          <w:sz w:val="22"/>
        </w:rPr>
        <w:t>case of</w:t>
      </w:r>
      <w:r w:rsidR="00ED2C17" w:rsidRPr="00074597">
        <w:rPr>
          <w:rFonts w:asciiTheme="majorBidi" w:hAnsiTheme="majorBidi"/>
          <w:sz w:val="22"/>
        </w:rPr>
        <w:t xml:space="preserve"> a Liquidity Event </w:t>
      </w:r>
      <w:r w:rsidR="00E855BE">
        <w:rPr>
          <w:rFonts w:asciiTheme="majorBidi" w:hAnsiTheme="majorBidi"/>
          <w:sz w:val="22"/>
        </w:rPr>
        <w:t xml:space="preserve">that </w:t>
      </w:r>
      <w:r w:rsidR="009F1D7A">
        <w:rPr>
          <w:rFonts w:asciiTheme="majorBidi" w:hAnsiTheme="majorBidi"/>
          <w:sz w:val="22"/>
        </w:rPr>
        <w:t>takes place on or prior to</w:t>
      </w:r>
      <w:r w:rsidR="009F1D7A" w:rsidRPr="00074597">
        <w:rPr>
          <w:rFonts w:asciiTheme="majorBidi" w:hAnsiTheme="majorBidi"/>
          <w:sz w:val="22"/>
        </w:rPr>
        <w:t xml:space="preserve"> </w:t>
      </w:r>
      <w:r w:rsidR="00ED2C17" w:rsidRPr="00074597">
        <w:rPr>
          <w:rFonts w:asciiTheme="majorBidi" w:hAnsiTheme="majorBidi"/>
          <w:sz w:val="22"/>
        </w:rPr>
        <w:t xml:space="preserve">the termination of this </w:t>
      </w:r>
      <w:r w:rsidR="000332CB">
        <w:rPr>
          <w:rFonts w:asciiTheme="majorBidi" w:hAnsiTheme="majorBidi"/>
          <w:sz w:val="22"/>
        </w:rPr>
        <w:t>SAFE</w:t>
      </w:r>
      <w:r w:rsidR="00ED2C17" w:rsidRPr="00074597">
        <w:rPr>
          <w:rFonts w:asciiTheme="majorBidi" w:hAnsiTheme="majorBidi"/>
          <w:sz w:val="22"/>
        </w:rPr>
        <w:t xml:space="preserve">, </w:t>
      </w:r>
      <w:r w:rsidR="00ED2C17" w:rsidRPr="00074597">
        <w:rPr>
          <w:sz w:val="22"/>
          <w:szCs w:val="22"/>
        </w:rPr>
        <w:t xml:space="preserve">this </w:t>
      </w:r>
      <w:r w:rsidR="000332CB">
        <w:rPr>
          <w:sz w:val="22"/>
          <w:szCs w:val="22"/>
        </w:rPr>
        <w:t>SAFE</w:t>
      </w:r>
      <w:r w:rsidR="00ED2C17" w:rsidRPr="00074597">
        <w:rPr>
          <w:sz w:val="22"/>
        </w:rPr>
        <w:t xml:space="preserve"> will automatically be converted into,</w:t>
      </w:r>
      <w:r w:rsidR="00ED2C17" w:rsidRPr="00074597">
        <w:rPr>
          <w:rFonts w:asciiTheme="majorBidi" w:hAnsiTheme="majorBidi"/>
          <w:sz w:val="22"/>
        </w:rPr>
        <w:t xml:space="preserve"> immediately prior and subject to the consummation of such Liquidity Event, such</w:t>
      </w:r>
      <w:r w:rsidR="00ED2C17" w:rsidRPr="00074597">
        <w:rPr>
          <w:sz w:val="22"/>
        </w:rPr>
        <w:t xml:space="preserve"> number of </w:t>
      </w:r>
      <w:r w:rsidR="00ED2C17" w:rsidRPr="00074597">
        <w:rPr>
          <w:sz w:val="22"/>
          <w:szCs w:val="22"/>
        </w:rPr>
        <w:t>new class of preferred shares of the Company (the “</w:t>
      </w:r>
      <w:r w:rsidR="000332CB">
        <w:rPr>
          <w:rFonts w:asciiTheme="majorBidi" w:hAnsiTheme="majorBidi" w:cstheme="majorBidi"/>
          <w:b/>
          <w:bCs/>
          <w:sz w:val="22"/>
          <w:szCs w:val="22"/>
        </w:rPr>
        <w:t>SAFE</w:t>
      </w:r>
      <w:r w:rsidR="00ED2C17" w:rsidRPr="00074597">
        <w:rPr>
          <w:rFonts w:asciiTheme="majorBidi" w:hAnsiTheme="majorBidi" w:cstheme="majorBidi"/>
          <w:b/>
          <w:bCs/>
          <w:sz w:val="22"/>
          <w:szCs w:val="22"/>
        </w:rPr>
        <w:t xml:space="preserve"> Liquidity Shares</w:t>
      </w:r>
      <w:r w:rsidR="00ED2C17" w:rsidRPr="00074597">
        <w:rPr>
          <w:rFonts w:asciiTheme="majorBidi" w:hAnsiTheme="majorBidi" w:cstheme="majorBidi"/>
          <w:sz w:val="22"/>
          <w:szCs w:val="22"/>
        </w:rPr>
        <w:t xml:space="preserve">”), </w:t>
      </w:r>
      <w:r w:rsidR="00ED2C17" w:rsidRPr="00074597">
        <w:rPr>
          <w:sz w:val="22"/>
          <w:szCs w:val="22"/>
        </w:rPr>
        <w:t xml:space="preserve">that </w:t>
      </w:r>
      <w:r w:rsidR="009F1D7A" w:rsidRPr="00074597">
        <w:rPr>
          <w:sz w:val="22"/>
          <w:szCs w:val="22"/>
        </w:rPr>
        <w:t>w</w:t>
      </w:r>
      <w:r w:rsidR="009F1D7A">
        <w:rPr>
          <w:sz w:val="22"/>
          <w:szCs w:val="22"/>
        </w:rPr>
        <w:t>ould</w:t>
      </w:r>
      <w:r w:rsidR="009F1D7A" w:rsidRPr="00074597">
        <w:rPr>
          <w:sz w:val="22"/>
          <w:szCs w:val="22"/>
        </w:rPr>
        <w:t xml:space="preserve"> </w:t>
      </w:r>
      <w:r w:rsidR="00ED2C17" w:rsidRPr="00074597">
        <w:rPr>
          <w:sz w:val="22"/>
          <w:szCs w:val="22"/>
        </w:rPr>
        <w:t xml:space="preserve">entitle the Investor </w:t>
      </w:r>
      <w:r w:rsidR="00ED2C17" w:rsidRPr="00074597">
        <w:rPr>
          <w:rFonts w:asciiTheme="majorBidi" w:hAnsiTheme="majorBidi"/>
          <w:sz w:val="22"/>
        </w:rPr>
        <w:t xml:space="preserve">to receive a portion of </w:t>
      </w:r>
      <w:r w:rsidR="009F1D7A">
        <w:rPr>
          <w:rFonts w:asciiTheme="majorBidi" w:hAnsiTheme="majorBidi"/>
          <w:sz w:val="22"/>
        </w:rPr>
        <w:t xml:space="preserve">the </w:t>
      </w:r>
      <w:r w:rsidR="00ED2C17" w:rsidRPr="00074597">
        <w:rPr>
          <w:rFonts w:asciiTheme="majorBidi" w:hAnsiTheme="majorBidi"/>
          <w:sz w:val="22"/>
        </w:rPr>
        <w:t xml:space="preserve">Proceeds, </w:t>
      </w:r>
      <w:r w:rsidR="00ED2C17" w:rsidRPr="00074597">
        <w:rPr>
          <w:sz w:val="22"/>
          <w:szCs w:val="22"/>
        </w:rPr>
        <w:t xml:space="preserve">upon the Liquidity Event, in an amount equal to the greater of (i) </w:t>
      </w:r>
      <w:r w:rsidR="00ED2C17" w:rsidRPr="00074597">
        <w:rPr>
          <w:rFonts w:asciiTheme="majorBidi" w:hAnsiTheme="majorBidi"/>
          <w:sz w:val="22"/>
        </w:rPr>
        <w:t>the [Purchase Amount]</w:t>
      </w:r>
      <w:r w:rsidR="006B6B6D" w:rsidRPr="00074597">
        <w:rPr>
          <w:rFonts w:asciiTheme="majorBidi" w:hAnsiTheme="majorBidi"/>
          <w:sz w:val="22"/>
        </w:rPr>
        <w:t xml:space="preserve"> [</w:t>
      </w:r>
      <w:r w:rsidR="00ED2C17" w:rsidRPr="00074597">
        <w:rPr>
          <w:rFonts w:asciiTheme="majorBidi" w:hAnsiTheme="majorBidi"/>
          <w:sz w:val="22"/>
        </w:rPr>
        <w:t>(the “</w:t>
      </w:r>
      <w:r w:rsidR="00ED2C17" w:rsidRPr="00074597">
        <w:rPr>
          <w:rFonts w:asciiTheme="majorBidi" w:hAnsiTheme="majorBidi"/>
          <w:b/>
          <w:sz w:val="22"/>
        </w:rPr>
        <w:t>Cash-Out Amount</w:t>
      </w:r>
      <w:r w:rsidR="00ED2C17" w:rsidRPr="00074597">
        <w:rPr>
          <w:rFonts w:asciiTheme="majorBidi" w:hAnsiTheme="majorBidi"/>
          <w:sz w:val="22"/>
        </w:rPr>
        <w:t>”)</w:t>
      </w:r>
      <w:r w:rsidR="006B6B6D" w:rsidRPr="00074597">
        <w:rPr>
          <w:rFonts w:asciiTheme="majorBidi" w:hAnsiTheme="majorBidi"/>
          <w:sz w:val="22"/>
        </w:rPr>
        <w:t>]</w:t>
      </w:r>
      <w:r w:rsidR="00ED2C17" w:rsidRPr="00074597">
        <w:rPr>
          <w:rFonts w:asciiTheme="majorBidi" w:hAnsiTheme="majorBidi"/>
          <w:sz w:val="22"/>
        </w:rPr>
        <w:t xml:space="preserve"> or (ii) the amount payable </w:t>
      </w:r>
      <w:r w:rsidR="009F1D7A">
        <w:rPr>
          <w:rFonts w:asciiTheme="majorBidi" w:hAnsiTheme="majorBidi"/>
          <w:sz w:val="22"/>
        </w:rPr>
        <w:t>with respect to</w:t>
      </w:r>
      <w:r w:rsidR="009F1D7A" w:rsidRPr="00074597">
        <w:rPr>
          <w:rFonts w:asciiTheme="majorBidi" w:hAnsiTheme="majorBidi"/>
          <w:sz w:val="22"/>
        </w:rPr>
        <w:t xml:space="preserve"> </w:t>
      </w:r>
      <w:r w:rsidR="00ED2C17" w:rsidRPr="00074597">
        <w:rPr>
          <w:rFonts w:asciiTheme="majorBidi" w:hAnsiTheme="majorBidi"/>
          <w:sz w:val="22"/>
        </w:rPr>
        <w:t xml:space="preserve">the number of Ordinary </w:t>
      </w:r>
      <w:r w:rsidR="00F06995">
        <w:rPr>
          <w:rFonts w:asciiTheme="majorBidi" w:hAnsiTheme="majorBidi"/>
          <w:sz w:val="22"/>
        </w:rPr>
        <w:t>S</w:t>
      </w:r>
      <w:r w:rsidR="00ED2C17" w:rsidRPr="00074597">
        <w:rPr>
          <w:rFonts w:asciiTheme="majorBidi" w:hAnsiTheme="majorBidi"/>
          <w:sz w:val="22"/>
        </w:rPr>
        <w:t>hares equal to the Purchase Amount divided by the Liquidity Price (the “</w:t>
      </w:r>
      <w:r w:rsidR="00ED2C17" w:rsidRPr="00074597">
        <w:rPr>
          <w:rFonts w:asciiTheme="majorBidi" w:hAnsiTheme="majorBidi"/>
          <w:b/>
          <w:sz w:val="22"/>
        </w:rPr>
        <w:t>Conversion Amount</w:t>
      </w:r>
      <w:r w:rsidR="00ED2C17" w:rsidRPr="00074597">
        <w:rPr>
          <w:rFonts w:asciiTheme="majorBidi" w:hAnsiTheme="majorBidi"/>
          <w:sz w:val="22"/>
        </w:rPr>
        <w:t xml:space="preserve">”). If any of the Company’s securityholders are given a choice as to the form and amount of Proceeds to be received in </w:t>
      </w:r>
      <w:r w:rsidR="009F1D7A">
        <w:rPr>
          <w:rFonts w:asciiTheme="majorBidi" w:hAnsiTheme="majorBidi"/>
          <w:sz w:val="22"/>
        </w:rPr>
        <w:t>the</w:t>
      </w:r>
      <w:r w:rsidR="009F1D7A" w:rsidRPr="00074597">
        <w:rPr>
          <w:rFonts w:asciiTheme="majorBidi" w:hAnsiTheme="majorBidi"/>
          <w:sz w:val="22"/>
        </w:rPr>
        <w:t xml:space="preserve"> </w:t>
      </w:r>
      <w:r w:rsidR="00ED2C17" w:rsidRPr="00074597">
        <w:rPr>
          <w:rFonts w:asciiTheme="majorBidi" w:hAnsiTheme="majorBidi"/>
          <w:sz w:val="22"/>
        </w:rPr>
        <w:t xml:space="preserve">Liquidity Event, the Investor will be given the same choice, </w:t>
      </w:r>
      <w:r w:rsidR="00ED2C17" w:rsidRPr="00074597">
        <w:rPr>
          <w:rFonts w:asciiTheme="majorBidi" w:hAnsiTheme="majorBidi"/>
          <w:i/>
          <w:sz w:val="22"/>
        </w:rPr>
        <w:t>provided</w:t>
      </w:r>
      <w:r w:rsidR="00ED2C17" w:rsidRPr="00074597">
        <w:rPr>
          <w:rFonts w:asciiTheme="majorBidi" w:hAnsiTheme="majorBidi"/>
          <w:sz w:val="22"/>
        </w:rPr>
        <w:t xml:space="preserve"> that the Investor may not choose to receive a form of consideration that the Investor would be ineligible to receive as a result of the Investor’s failure to satisfy any requirement or limitation generally applicable to the Company’s securityholders, or under any applicable laws</w:t>
      </w:r>
      <w:r w:rsidR="00B563AA">
        <w:rPr>
          <w:rFonts w:asciiTheme="majorBidi" w:hAnsiTheme="majorBidi"/>
          <w:sz w:val="22"/>
        </w:rPr>
        <w:t>.</w:t>
      </w:r>
      <w:r w:rsidR="00ED2C17" w:rsidRPr="00074597">
        <w:rPr>
          <w:rFonts w:asciiTheme="majorBidi" w:hAnsiTheme="majorBidi"/>
          <w:sz w:val="22"/>
        </w:rPr>
        <w:t>]</w:t>
      </w:r>
      <w:bookmarkEnd w:id="1"/>
      <w:r w:rsidR="005E30B1">
        <w:rPr>
          <w:rStyle w:val="FootnoteReference"/>
        </w:rPr>
        <w:footnoteReference w:id="4"/>
      </w:r>
      <w:r w:rsidR="00ED2C17" w:rsidRPr="00714752">
        <w:t xml:space="preserve"> </w:t>
      </w:r>
      <w:r w:rsidR="005E30B1">
        <w:rPr>
          <w:sz w:val="22"/>
          <w:szCs w:val="18"/>
        </w:rPr>
        <w:t>[[OR]]</w:t>
      </w:r>
      <w:r w:rsidR="0082473F" w:rsidRPr="00E74604">
        <w:rPr>
          <w:sz w:val="22"/>
          <w:szCs w:val="18"/>
        </w:rPr>
        <w:t xml:space="preserve"> </w:t>
      </w:r>
    </w:p>
    <w:p w14:paraId="00B7DEA8" w14:textId="150D04EA" w:rsidR="00173665" w:rsidRDefault="009671A9" w:rsidP="00DB6B67">
      <w:pPr>
        <w:spacing w:before="120" w:after="120"/>
        <w:ind w:firstLine="1418"/>
        <w:jc w:val="both"/>
      </w:pPr>
      <w:r>
        <w:rPr>
          <w:rStyle w:val="FootnoteReference"/>
          <w:rFonts w:asciiTheme="majorBidi" w:hAnsiTheme="majorBidi"/>
          <w:sz w:val="22"/>
        </w:rPr>
        <w:footnoteReference w:id="5"/>
      </w:r>
      <w:r w:rsidR="00173665" w:rsidRPr="0082473F">
        <w:rPr>
          <w:rFonts w:asciiTheme="majorBidi" w:hAnsiTheme="majorBidi"/>
          <w:sz w:val="22"/>
        </w:rPr>
        <w:t>[</w:t>
      </w:r>
      <w:r w:rsidR="009F1D7A">
        <w:rPr>
          <w:rFonts w:asciiTheme="majorBidi" w:hAnsiTheme="majorBidi"/>
          <w:sz w:val="22"/>
        </w:rPr>
        <w:t>In the event</w:t>
      </w:r>
      <w:r w:rsidR="00173665" w:rsidRPr="0082473F">
        <w:rPr>
          <w:rFonts w:asciiTheme="majorBidi" w:hAnsiTheme="majorBidi"/>
          <w:sz w:val="22"/>
        </w:rPr>
        <w:t xml:space="preserve"> a Liquidity Event </w:t>
      </w:r>
      <w:r w:rsidR="009F1D7A">
        <w:rPr>
          <w:rFonts w:asciiTheme="majorBidi" w:hAnsiTheme="majorBidi"/>
          <w:sz w:val="22"/>
        </w:rPr>
        <w:t>takes place on or prior to</w:t>
      </w:r>
      <w:r w:rsidR="009F1D7A" w:rsidRPr="0082473F">
        <w:rPr>
          <w:rFonts w:asciiTheme="majorBidi" w:hAnsiTheme="majorBidi"/>
          <w:sz w:val="22"/>
        </w:rPr>
        <w:t xml:space="preserve"> </w:t>
      </w:r>
      <w:r w:rsidR="00173665" w:rsidRPr="0082473F">
        <w:rPr>
          <w:rFonts w:asciiTheme="majorBidi" w:hAnsiTheme="majorBidi"/>
          <w:sz w:val="22"/>
        </w:rPr>
        <w:t xml:space="preserve">the termination of this </w:t>
      </w:r>
      <w:r w:rsidR="000332CB">
        <w:rPr>
          <w:rFonts w:asciiTheme="majorBidi" w:hAnsiTheme="majorBidi"/>
          <w:sz w:val="22"/>
        </w:rPr>
        <w:t>SAFE</w:t>
      </w:r>
      <w:r w:rsidR="00173665" w:rsidRPr="0082473F">
        <w:rPr>
          <w:rFonts w:asciiTheme="majorBidi" w:hAnsiTheme="majorBidi"/>
          <w:sz w:val="22"/>
        </w:rPr>
        <w:t xml:space="preserve">, </w:t>
      </w:r>
      <w:r w:rsidR="00173665" w:rsidRPr="0082473F">
        <w:rPr>
          <w:sz w:val="22"/>
          <w:szCs w:val="22"/>
        </w:rPr>
        <w:t xml:space="preserve">this </w:t>
      </w:r>
      <w:r w:rsidR="000332CB">
        <w:rPr>
          <w:sz w:val="22"/>
          <w:szCs w:val="22"/>
        </w:rPr>
        <w:t>SAFE</w:t>
      </w:r>
      <w:r w:rsidR="00173665" w:rsidRPr="0082473F">
        <w:rPr>
          <w:sz w:val="22"/>
        </w:rPr>
        <w:t xml:space="preserve"> will, immediately prior and subject to the consummation of such Liquidity Event, </w:t>
      </w:r>
      <w:r w:rsidR="00173665" w:rsidRPr="0082473F">
        <w:rPr>
          <w:rFonts w:asciiTheme="majorBidi" w:hAnsiTheme="majorBidi"/>
          <w:sz w:val="22"/>
        </w:rPr>
        <w:t xml:space="preserve">convert into such number of </w:t>
      </w:r>
      <w:r w:rsidR="000332CB">
        <w:rPr>
          <w:rFonts w:asciiTheme="majorBidi" w:hAnsiTheme="majorBidi"/>
          <w:sz w:val="22"/>
        </w:rPr>
        <w:t>SAFE</w:t>
      </w:r>
      <w:r w:rsidR="00173665" w:rsidRPr="0082473F">
        <w:rPr>
          <w:rFonts w:asciiTheme="majorBidi" w:hAnsiTheme="majorBidi"/>
          <w:sz w:val="22"/>
        </w:rPr>
        <w:t xml:space="preserve"> Liquidity Shares equal to the Purchase Amount divided by the Liquidity Price</w:t>
      </w:r>
      <w:r w:rsidR="00DD7892">
        <w:rPr>
          <w:rFonts w:asciiTheme="majorBidi" w:hAnsiTheme="majorBidi"/>
          <w:sz w:val="22"/>
        </w:rPr>
        <w:t xml:space="preserve">; </w:t>
      </w:r>
      <w:r w:rsidR="00B563AA" w:rsidRPr="002B6DBA">
        <w:rPr>
          <w:rFonts w:asciiTheme="majorBidi" w:hAnsiTheme="majorBidi"/>
          <w:sz w:val="22"/>
        </w:rPr>
        <w:t xml:space="preserve">provided that, in case of a </w:t>
      </w:r>
      <w:r w:rsidR="00B563AA">
        <w:rPr>
          <w:rFonts w:asciiTheme="majorBidi" w:hAnsiTheme="majorBidi"/>
          <w:sz w:val="22"/>
        </w:rPr>
        <w:t>Change of Control</w:t>
      </w:r>
      <w:r w:rsidR="00B563AA" w:rsidRPr="002B6DBA">
        <w:rPr>
          <w:rFonts w:asciiTheme="majorBidi" w:hAnsiTheme="majorBidi"/>
          <w:sz w:val="22"/>
        </w:rPr>
        <w:t>, the Investor (A) shall be treated as a holder of Preferred S</w:t>
      </w:r>
      <w:r w:rsidR="00B563AA">
        <w:rPr>
          <w:rFonts w:asciiTheme="majorBidi" w:hAnsiTheme="majorBidi"/>
          <w:sz w:val="22"/>
        </w:rPr>
        <w:t>hares</w:t>
      </w:r>
      <w:r w:rsidR="00B563AA" w:rsidRPr="002B6DBA">
        <w:rPr>
          <w:rFonts w:asciiTheme="majorBidi" w:hAnsiTheme="majorBidi"/>
          <w:sz w:val="22"/>
        </w:rPr>
        <w:t xml:space="preserve"> of the Company for all purposes under the definitive agreements of such </w:t>
      </w:r>
      <w:r w:rsidR="00B563AA">
        <w:rPr>
          <w:rFonts w:asciiTheme="majorBidi" w:hAnsiTheme="majorBidi"/>
          <w:sz w:val="22"/>
        </w:rPr>
        <w:t>Change of Control</w:t>
      </w:r>
      <w:r w:rsidR="00B563AA" w:rsidRPr="002B6DBA">
        <w:rPr>
          <w:rFonts w:asciiTheme="majorBidi" w:hAnsiTheme="majorBidi"/>
          <w:sz w:val="22"/>
        </w:rPr>
        <w:t xml:space="preserve"> (except that the liquidation payments due and payable to the Investor from the Proceeds shall be calculated in accordance with this Section 1(</w:t>
      </w:r>
      <w:r w:rsidR="00B563AA">
        <w:rPr>
          <w:rFonts w:asciiTheme="majorBidi" w:hAnsiTheme="majorBidi"/>
          <w:sz w:val="22"/>
        </w:rPr>
        <w:t>d</w:t>
      </w:r>
      <w:r w:rsidR="00B563AA" w:rsidRPr="002B6DBA">
        <w:rPr>
          <w:rFonts w:asciiTheme="majorBidi" w:hAnsiTheme="majorBidi"/>
          <w:sz w:val="22"/>
        </w:rPr>
        <w:t>)), (B) shall make the same representations and warranties agreed by all other holders of Preferred S</w:t>
      </w:r>
      <w:r w:rsidR="00B563AA">
        <w:rPr>
          <w:rFonts w:asciiTheme="majorBidi" w:hAnsiTheme="majorBidi"/>
          <w:sz w:val="22"/>
        </w:rPr>
        <w:t>hares</w:t>
      </w:r>
      <w:r w:rsidR="00B563AA" w:rsidRPr="002B6DBA">
        <w:rPr>
          <w:rFonts w:asciiTheme="majorBidi" w:hAnsiTheme="majorBidi"/>
          <w:sz w:val="22"/>
        </w:rPr>
        <w:t xml:space="preserve"> of the Company, and (C) shall be bound by and comply with the terms and conditions of the definitive agreements of such </w:t>
      </w:r>
      <w:r w:rsidR="00B563AA">
        <w:rPr>
          <w:rFonts w:asciiTheme="majorBidi" w:hAnsiTheme="majorBidi"/>
          <w:sz w:val="22"/>
        </w:rPr>
        <w:t>Change of Control</w:t>
      </w:r>
      <w:r w:rsidR="00B563AA" w:rsidRPr="002B6DBA">
        <w:rPr>
          <w:rFonts w:asciiTheme="majorBidi" w:hAnsiTheme="majorBidi"/>
          <w:sz w:val="22"/>
        </w:rPr>
        <w:t xml:space="preserve">, in the same manner and to the same extent as if the Investor were a holder of Preferred </w:t>
      </w:r>
      <w:r w:rsidR="00B563AA">
        <w:rPr>
          <w:rFonts w:asciiTheme="majorBidi" w:hAnsiTheme="majorBidi"/>
          <w:sz w:val="22"/>
        </w:rPr>
        <w:t>Shares</w:t>
      </w:r>
      <w:r w:rsidR="00B563AA" w:rsidRPr="002B6DBA">
        <w:rPr>
          <w:rFonts w:asciiTheme="majorBidi" w:hAnsiTheme="majorBidi"/>
          <w:sz w:val="22"/>
        </w:rPr>
        <w:t xml:space="preserve"> at such time (including by participating in the distribution of any escrow or holdback amount to be available for satisfaction of indemnification, adjustments or expenses in connection with such </w:t>
      </w:r>
      <w:r w:rsidR="00B563AA">
        <w:rPr>
          <w:rFonts w:asciiTheme="majorBidi" w:hAnsiTheme="majorBidi"/>
          <w:sz w:val="22"/>
        </w:rPr>
        <w:t>Change of Control</w:t>
      </w:r>
      <w:r w:rsidR="00B563AA" w:rsidRPr="002B6DBA">
        <w:rPr>
          <w:rFonts w:asciiTheme="majorBidi" w:hAnsiTheme="majorBidi"/>
          <w:sz w:val="22"/>
        </w:rPr>
        <w:t>, and any other covenants agreed by the holders of Preferred S</w:t>
      </w:r>
      <w:r w:rsidR="00B563AA">
        <w:rPr>
          <w:rFonts w:asciiTheme="majorBidi" w:hAnsiTheme="majorBidi"/>
          <w:sz w:val="22"/>
        </w:rPr>
        <w:t>hares</w:t>
      </w:r>
      <w:r w:rsidR="00B563AA" w:rsidRPr="002B6DBA">
        <w:rPr>
          <w:rFonts w:asciiTheme="majorBidi" w:hAnsiTheme="majorBidi"/>
          <w:sz w:val="22"/>
        </w:rPr>
        <w:t xml:space="preserve"> under such agreement (including, without limitation, indemnification to cover breaches of representations, warranties and covenants of the Company as well as breach by any s</w:t>
      </w:r>
      <w:r w:rsidR="00B563AA">
        <w:rPr>
          <w:rFonts w:asciiTheme="majorBidi" w:hAnsiTheme="majorBidi"/>
          <w:sz w:val="22"/>
        </w:rPr>
        <w:t>hare</w:t>
      </w:r>
      <w:r w:rsidR="00B563AA" w:rsidRPr="002B6DBA">
        <w:rPr>
          <w:rFonts w:asciiTheme="majorBidi" w:hAnsiTheme="majorBidi"/>
          <w:sz w:val="22"/>
        </w:rPr>
        <w:t xml:space="preserve">holders of any of identical representations, warranties and </w:t>
      </w:r>
      <w:r w:rsidR="00B563AA" w:rsidRPr="002B6DBA">
        <w:rPr>
          <w:rFonts w:asciiTheme="majorBidi" w:hAnsiTheme="majorBidi"/>
          <w:sz w:val="22"/>
        </w:rPr>
        <w:lastRenderedPageBreak/>
        <w:t>covenants provided by all s</w:t>
      </w:r>
      <w:r w:rsidR="00B563AA">
        <w:rPr>
          <w:rFonts w:asciiTheme="majorBidi" w:hAnsiTheme="majorBidi"/>
          <w:sz w:val="22"/>
        </w:rPr>
        <w:t>hare</w:t>
      </w:r>
      <w:r w:rsidR="00B563AA" w:rsidRPr="002B6DBA">
        <w:rPr>
          <w:rFonts w:asciiTheme="majorBidi" w:hAnsiTheme="majorBidi"/>
          <w:sz w:val="22"/>
        </w:rPr>
        <w:t>holders</w:t>
      </w:r>
      <w:r w:rsidR="00B563AA" w:rsidRPr="00074597">
        <w:rPr>
          <w:rFonts w:asciiTheme="majorBidi" w:hAnsiTheme="majorBidi"/>
          <w:sz w:val="22"/>
        </w:rPr>
        <w:t>.</w:t>
      </w:r>
      <w:r>
        <w:rPr>
          <w:rStyle w:val="FootnoteReference"/>
          <w:rFonts w:asciiTheme="majorBidi" w:hAnsiTheme="majorBidi"/>
          <w:sz w:val="22"/>
        </w:rPr>
        <w:footnoteReference w:id="6"/>
      </w:r>
      <w:r w:rsidR="00B563AA" w:rsidRPr="00074597">
        <w:rPr>
          <w:rFonts w:asciiTheme="majorBidi" w:hAnsiTheme="majorBidi"/>
          <w:sz w:val="22"/>
        </w:rPr>
        <w:t xml:space="preserve"> If any of the Company’s securityholders are given a choice as to the form and amount of Proceeds to be received in </w:t>
      </w:r>
      <w:r w:rsidR="00B563AA">
        <w:rPr>
          <w:rFonts w:asciiTheme="majorBidi" w:hAnsiTheme="majorBidi"/>
          <w:sz w:val="22"/>
        </w:rPr>
        <w:t>the</w:t>
      </w:r>
      <w:r w:rsidR="00B563AA" w:rsidRPr="00074597">
        <w:rPr>
          <w:rFonts w:asciiTheme="majorBidi" w:hAnsiTheme="majorBidi"/>
          <w:sz w:val="22"/>
        </w:rPr>
        <w:t xml:space="preserve"> Liquidity Event, the Investor will be given the same choice, </w:t>
      </w:r>
      <w:r w:rsidR="00B563AA" w:rsidRPr="00074597">
        <w:rPr>
          <w:rFonts w:asciiTheme="majorBidi" w:hAnsiTheme="majorBidi"/>
          <w:i/>
          <w:sz w:val="22"/>
        </w:rPr>
        <w:t>provided</w:t>
      </w:r>
      <w:r w:rsidR="00B563AA" w:rsidRPr="00074597">
        <w:rPr>
          <w:rFonts w:asciiTheme="majorBidi" w:hAnsiTheme="majorBidi"/>
          <w:sz w:val="22"/>
        </w:rPr>
        <w:t xml:space="preserve"> that the Investor may not choose to receive a form of consideration that the Investor would be ineligible to receive as a result of the Investor’s failure to satisfy any requirement or limitation generally applicable to the Company’s securityholders, or under any applicable laws</w:t>
      </w:r>
      <w:r w:rsidR="00173665" w:rsidRPr="0082473F">
        <w:t xml:space="preserve">.] </w:t>
      </w:r>
      <w:r w:rsidR="00DD163A">
        <w:rPr>
          <w:rStyle w:val="FootnoteReference"/>
        </w:rPr>
        <w:footnoteReference w:id="7"/>
      </w:r>
      <w:r w:rsidR="0082473F" w:rsidRPr="00E74604">
        <w:rPr>
          <w:sz w:val="22"/>
          <w:szCs w:val="18"/>
          <w:highlight w:val="yellow"/>
        </w:rPr>
        <w:t xml:space="preserve"> </w:t>
      </w:r>
    </w:p>
    <w:p w14:paraId="30640E5D" w14:textId="58512536" w:rsidR="007108DE" w:rsidRPr="00074597" w:rsidRDefault="00EE3DFE" w:rsidP="00DB6B67">
      <w:pPr>
        <w:pStyle w:val="Def2Heading3"/>
        <w:numPr>
          <w:ilvl w:val="0"/>
          <w:numId w:val="4"/>
        </w:numPr>
        <w:spacing w:before="0" w:after="120"/>
        <w:ind w:left="0" w:firstLine="1418"/>
        <w:jc w:val="both"/>
        <w:rPr>
          <w:sz w:val="22"/>
          <w:szCs w:val="22"/>
        </w:rPr>
      </w:pPr>
      <w:r>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w:t>
      </w:r>
      <w:r w:rsidR="0082473F">
        <w:rPr>
          <w:sz w:val="22"/>
          <w:szCs w:val="22"/>
        </w:rPr>
        <w:t xml:space="preserve"> </w:t>
      </w:r>
      <w:r w:rsidR="003B6E26" w:rsidRPr="00E74604">
        <w:rPr>
          <w:rFonts w:asciiTheme="majorBidi" w:hAnsiTheme="majorBidi"/>
          <w:sz w:val="22"/>
        </w:rPr>
        <w:t xml:space="preserve">If a Dissolution Event </w:t>
      </w:r>
      <w:r w:rsidR="00C50D05">
        <w:rPr>
          <w:rFonts w:asciiTheme="majorBidi" w:hAnsiTheme="majorBidi"/>
          <w:sz w:val="22"/>
        </w:rPr>
        <w:t>takes place on or prior to</w:t>
      </w:r>
      <w:r w:rsidR="00C50D05" w:rsidRPr="00E74604">
        <w:rPr>
          <w:rFonts w:asciiTheme="majorBidi" w:hAnsiTheme="majorBidi"/>
          <w:sz w:val="22"/>
        </w:rPr>
        <w:t xml:space="preserve"> </w:t>
      </w:r>
      <w:r w:rsidR="003B6E26" w:rsidRPr="00E74604">
        <w:rPr>
          <w:rFonts w:asciiTheme="majorBidi" w:hAnsiTheme="majorBidi"/>
          <w:sz w:val="22"/>
        </w:rPr>
        <w:t xml:space="preserve">the termination of this </w:t>
      </w:r>
      <w:r w:rsidR="000332CB">
        <w:rPr>
          <w:rFonts w:asciiTheme="majorBidi" w:hAnsiTheme="majorBidi"/>
          <w:sz w:val="22"/>
        </w:rPr>
        <w:t>SAFE</w:t>
      </w:r>
      <w:r w:rsidR="003B6E26" w:rsidRPr="00E74604">
        <w:rPr>
          <w:rFonts w:asciiTheme="majorBidi" w:hAnsiTheme="majorBidi"/>
          <w:sz w:val="22"/>
        </w:rPr>
        <w:t>, the Investor will automatically be entitled (</w:t>
      </w:r>
      <w:r w:rsidR="003B6E26" w:rsidRPr="00E74604">
        <w:rPr>
          <w:sz w:val="22"/>
          <w:szCs w:val="22"/>
        </w:rPr>
        <w:t>subject</w:t>
      </w:r>
      <w:r w:rsidR="003B6E26" w:rsidRPr="00E74604">
        <w:rPr>
          <w:rFonts w:asciiTheme="majorBidi" w:hAnsiTheme="majorBidi"/>
          <w:sz w:val="22"/>
        </w:rPr>
        <w:t xml:space="preserve"> to the </w:t>
      </w:r>
      <w:r w:rsidR="00E74604">
        <w:rPr>
          <w:rFonts w:asciiTheme="majorBidi" w:hAnsiTheme="majorBidi"/>
          <w:sz w:val="22"/>
        </w:rPr>
        <w:t>dissolution</w:t>
      </w:r>
      <w:r w:rsidR="00E74604" w:rsidRPr="00E74604">
        <w:rPr>
          <w:rFonts w:asciiTheme="majorBidi" w:hAnsiTheme="majorBidi"/>
          <w:sz w:val="22"/>
        </w:rPr>
        <w:t xml:space="preserve"> </w:t>
      </w:r>
      <w:r w:rsidR="003B6E26" w:rsidRPr="00E74604">
        <w:rPr>
          <w:rFonts w:asciiTheme="majorBidi" w:hAnsiTheme="majorBidi"/>
          <w:sz w:val="22"/>
        </w:rPr>
        <w:t>priority set forth in Section 1(</w:t>
      </w:r>
      <w:r w:rsidR="0012442D">
        <w:rPr>
          <w:sz w:val="22"/>
          <w:szCs w:val="22"/>
        </w:rPr>
        <w:t>f</w:t>
      </w:r>
      <w:r w:rsidR="003B6E26" w:rsidRPr="00E74604">
        <w:rPr>
          <w:rFonts w:asciiTheme="majorBidi" w:hAnsiTheme="majorBidi"/>
          <w:sz w:val="22"/>
        </w:rPr>
        <w:t xml:space="preserve">) below) to receive a portion of </w:t>
      </w:r>
      <w:r w:rsidR="00C50D05">
        <w:rPr>
          <w:rFonts w:asciiTheme="majorBidi" w:hAnsiTheme="majorBidi"/>
          <w:sz w:val="22"/>
        </w:rPr>
        <w:t xml:space="preserve">the </w:t>
      </w:r>
      <w:r w:rsidR="003B6E26" w:rsidRPr="00E74604">
        <w:rPr>
          <w:rFonts w:asciiTheme="majorBidi" w:hAnsiTheme="majorBidi"/>
          <w:sz w:val="22"/>
        </w:rPr>
        <w:t xml:space="preserve">Proceeds equal to the Purchase Amount, </w:t>
      </w:r>
      <w:r w:rsidR="00C50D05">
        <w:rPr>
          <w:rFonts w:asciiTheme="majorBidi" w:hAnsiTheme="majorBidi"/>
          <w:sz w:val="22"/>
        </w:rPr>
        <w:t xml:space="preserve">which shall be </w:t>
      </w:r>
      <w:r w:rsidR="003B6E26" w:rsidRPr="00E74604">
        <w:rPr>
          <w:rFonts w:asciiTheme="majorBidi" w:hAnsiTheme="majorBidi"/>
          <w:sz w:val="22"/>
        </w:rPr>
        <w:t>due and payable to the Investor immediately prior to the consummation of the Dissolution Event</w:t>
      </w:r>
      <w:r w:rsidR="0036260A" w:rsidRPr="00E74604">
        <w:t>.</w:t>
      </w:r>
    </w:p>
    <w:p w14:paraId="2DAE648C" w14:textId="049FCA87" w:rsidR="004F617A" w:rsidRPr="00F94B31" w:rsidRDefault="004F617A" w:rsidP="00DB6B67">
      <w:pPr>
        <w:pStyle w:val="Def2Heading3"/>
        <w:numPr>
          <w:ilvl w:val="0"/>
          <w:numId w:val="4"/>
        </w:numPr>
        <w:spacing w:before="0" w:after="120"/>
        <w:ind w:left="0" w:firstLine="1418"/>
        <w:jc w:val="both"/>
        <w:rPr>
          <w:sz w:val="22"/>
          <w:szCs w:val="22"/>
        </w:rPr>
      </w:pPr>
      <w:r w:rsidRPr="00EC18AC">
        <w:rPr>
          <w:b/>
          <w:bCs/>
          <w:sz w:val="22"/>
          <w:szCs w:val="22"/>
          <w:u w:val="single"/>
        </w:rPr>
        <w:t>Dissolution</w:t>
      </w:r>
      <w:r w:rsidRPr="00EC18AC">
        <w:rPr>
          <w:b/>
          <w:sz w:val="22"/>
          <w:szCs w:val="22"/>
          <w:u w:val="single"/>
        </w:rPr>
        <w:t xml:space="preserve"> Priority</w:t>
      </w:r>
      <w:r w:rsidRPr="00EC18AC">
        <w:rPr>
          <w:sz w:val="22"/>
          <w:szCs w:val="22"/>
        </w:rPr>
        <w:t>.</w:t>
      </w:r>
      <w:r w:rsidRPr="00F94B31">
        <w:rPr>
          <w:sz w:val="22"/>
          <w:szCs w:val="22"/>
        </w:rPr>
        <w:t xml:space="preserve"> In a Dissolution Event, the Investor’s right to receive its Purchase Amount </w:t>
      </w:r>
      <w:r w:rsidR="00C50D05">
        <w:rPr>
          <w:sz w:val="22"/>
          <w:szCs w:val="22"/>
        </w:rPr>
        <w:t>will be</w:t>
      </w:r>
      <w:r w:rsidRPr="00F94B31">
        <w:rPr>
          <w:sz w:val="22"/>
          <w:szCs w:val="22"/>
        </w:rPr>
        <w:t>:</w:t>
      </w:r>
    </w:p>
    <w:p w14:paraId="16541B4A" w14:textId="77777777" w:rsidR="004F617A" w:rsidRPr="00F94B31" w:rsidRDefault="004F617A" w:rsidP="000D35EB">
      <w:pPr>
        <w:autoSpaceDE w:val="0"/>
        <w:autoSpaceDN w:val="0"/>
        <w:adjustRightInd w:val="0"/>
        <w:spacing w:before="120"/>
        <w:ind w:right="49" w:firstLine="1985"/>
        <w:jc w:val="both"/>
        <w:rPr>
          <w:sz w:val="22"/>
          <w:szCs w:val="22"/>
        </w:rPr>
      </w:pPr>
      <w:r w:rsidRPr="00F94B31">
        <w:rPr>
          <w:sz w:val="22"/>
          <w:szCs w:val="22"/>
        </w:rPr>
        <w:t>(i)</w:t>
      </w:r>
      <w:r w:rsidRPr="00F94B31">
        <w:rPr>
          <w:sz w:val="22"/>
          <w:szCs w:val="22"/>
        </w:rPr>
        <w:tab/>
        <w:t>Junior to payment of outstanding indebtedness and creditor claims, including contractual claims for payment and convertible promissory notes (to the extent such convertible promissory notes are not actually or notionally converted into Share Capital);</w:t>
      </w:r>
    </w:p>
    <w:p w14:paraId="33A7A3D9" w14:textId="66E55BBC" w:rsidR="004F617A" w:rsidRPr="00F94B31" w:rsidRDefault="004F617A" w:rsidP="000D35EB">
      <w:pPr>
        <w:autoSpaceDE w:val="0"/>
        <w:autoSpaceDN w:val="0"/>
        <w:adjustRightInd w:val="0"/>
        <w:spacing w:before="120"/>
        <w:ind w:right="49" w:firstLine="1985"/>
        <w:jc w:val="both"/>
        <w:rPr>
          <w:sz w:val="22"/>
          <w:szCs w:val="22"/>
        </w:rPr>
      </w:pPr>
      <w:r w:rsidRPr="00F94B31">
        <w:rPr>
          <w:sz w:val="22"/>
          <w:szCs w:val="22"/>
        </w:rPr>
        <w:t>(ii)</w:t>
      </w:r>
      <w:r w:rsidRPr="00F94B31">
        <w:rPr>
          <w:sz w:val="22"/>
          <w:szCs w:val="22"/>
        </w:rPr>
        <w:tab/>
        <w:t xml:space="preserve">On par with payments for other </w:t>
      </w:r>
      <w:r w:rsidR="000332CB">
        <w:rPr>
          <w:sz w:val="22"/>
          <w:szCs w:val="22"/>
        </w:rPr>
        <w:t>SAFE</w:t>
      </w:r>
      <w:r w:rsidRPr="00F94B31">
        <w:rPr>
          <w:sz w:val="22"/>
          <w:szCs w:val="22"/>
        </w:rPr>
        <w:t>s and/or the most senior Preferred Shares and</w:t>
      </w:r>
      <w:r w:rsidR="00C50D05" w:rsidRPr="00F94B31">
        <w:rPr>
          <w:sz w:val="22"/>
          <w:szCs w:val="22"/>
        </w:rPr>
        <w:t>,</w:t>
      </w:r>
      <w:r w:rsidRPr="00F94B31">
        <w:rPr>
          <w:sz w:val="22"/>
          <w:szCs w:val="22"/>
        </w:rPr>
        <w:t xml:space="preserve"> if the applicable Proceeds are insufficient to permit full payment to the Investor and such other </w:t>
      </w:r>
      <w:r w:rsidR="000332CB">
        <w:rPr>
          <w:sz w:val="22"/>
          <w:szCs w:val="22"/>
        </w:rPr>
        <w:t>SAFE</w:t>
      </w:r>
      <w:r w:rsidRPr="00F94B31">
        <w:rPr>
          <w:sz w:val="22"/>
          <w:szCs w:val="22"/>
        </w:rPr>
        <w:t xml:space="preserve">s and/or the most senior Preferred Shares, the applicable Proceeds will be distributed </w:t>
      </w:r>
      <w:r w:rsidRPr="00F94B31">
        <w:rPr>
          <w:sz w:val="22"/>
        </w:rPr>
        <w:t>pro rata</w:t>
      </w:r>
      <w:r w:rsidRPr="00F94B31">
        <w:rPr>
          <w:sz w:val="22"/>
          <w:szCs w:val="22"/>
        </w:rPr>
        <w:t xml:space="preserve"> to the Investor and such other </w:t>
      </w:r>
      <w:r w:rsidR="000332CB">
        <w:rPr>
          <w:sz w:val="22"/>
          <w:szCs w:val="22"/>
        </w:rPr>
        <w:t>SAFE</w:t>
      </w:r>
      <w:r w:rsidRPr="00F94B31">
        <w:rPr>
          <w:sz w:val="22"/>
          <w:szCs w:val="22"/>
        </w:rPr>
        <w:t>s and/or the most senior Preferred Shares in proportion to the full payments that would otherwise be due</w:t>
      </w:r>
      <w:r w:rsidR="00C50D05">
        <w:rPr>
          <w:sz w:val="22"/>
          <w:szCs w:val="22"/>
        </w:rPr>
        <w:t xml:space="preserve"> to each of them</w:t>
      </w:r>
      <w:r w:rsidRPr="00F94B31">
        <w:rPr>
          <w:sz w:val="22"/>
          <w:szCs w:val="22"/>
        </w:rPr>
        <w:t xml:space="preserve">; and </w:t>
      </w:r>
    </w:p>
    <w:p w14:paraId="2DC0ABCD" w14:textId="2BE69D97" w:rsidR="007108DE" w:rsidRDefault="004F617A" w:rsidP="000D35EB">
      <w:pPr>
        <w:autoSpaceDE w:val="0"/>
        <w:autoSpaceDN w:val="0"/>
        <w:adjustRightInd w:val="0"/>
        <w:spacing w:before="120" w:after="120"/>
        <w:ind w:right="51" w:firstLine="1985"/>
        <w:jc w:val="both"/>
        <w:rPr>
          <w:sz w:val="22"/>
          <w:szCs w:val="22"/>
        </w:rPr>
      </w:pPr>
      <w:r w:rsidRPr="00F94B31">
        <w:rPr>
          <w:sz w:val="22"/>
          <w:szCs w:val="22"/>
        </w:rPr>
        <w:t>(iii)</w:t>
      </w:r>
      <w:r w:rsidRPr="00F94B31">
        <w:rPr>
          <w:sz w:val="22"/>
          <w:szCs w:val="22"/>
        </w:rPr>
        <w:tab/>
        <w:t xml:space="preserve">Senior to payments </w:t>
      </w:r>
      <w:r w:rsidR="00C50D05">
        <w:rPr>
          <w:sz w:val="22"/>
          <w:szCs w:val="22"/>
        </w:rPr>
        <w:t>with respect to</w:t>
      </w:r>
      <w:r w:rsidR="00C50D05" w:rsidRPr="00F94B31">
        <w:rPr>
          <w:sz w:val="22"/>
          <w:szCs w:val="22"/>
        </w:rPr>
        <w:t xml:space="preserve"> </w:t>
      </w:r>
      <w:r w:rsidR="00C50D05">
        <w:rPr>
          <w:sz w:val="22"/>
          <w:szCs w:val="22"/>
        </w:rPr>
        <w:t>the Company's Share Capital</w:t>
      </w:r>
      <w:r w:rsidRPr="00F94B31">
        <w:rPr>
          <w:sz w:val="22"/>
          <w:szCs w:val="22"/>
        </w:rPr>
        <w:t xml:space="preserve"> (</w:t>
      </w:r>
      <w:r w:rsidR="00C50D05">
        <w:rPr>
          <w:sz w:val="22"/>
          <w:szCs w:val="22"/>
        </w:rPr>
        <w:t>other than</w:t>
      </w:r>
      <w:r w:rsidRPr="00F94B31">
        <w:rPr>
          <w:sz w:val="22"/>
          <w:szCs w:val="22"/>
        </w:rPr>
        <w:t xml:space="preserve"> </w:t>
      </w:r>
      <w:r w:rsidR="00C50D05">
        <w:rPr>
          <w:sz w:val="22"/>
          <w:szCs w:val="22"/>
        </w:rPr>
        <w:t xml:space="preserve">the </w:t>
      </w:r>
      <w:r w:rsidRPr="00F94B31">
        <w:rPr>
          <w:sz w:val="22"/>
          <w:szCs w:val="22"/>
        </w:rPr>
        <w:t>most senior class of Preferred Shares).</w:t>
      </w:r>
    </w:p>
    <w:p w14:paraId="538B9D61" w14:textId="07994913" w:rsidR="00515627" w:rsidRPr="00AC5EBA" w:rsidRDefault="00515627" w:rsidP="00DB6B67">
      <w:pPr>
        <w:pStyle w:val="Def2Heading3"/>
        <w:numPr>
          <w:ilvl w:val="0"/>
          <w:numId w:val="4"/>
        </w:numPr>
        <w:spacing w:before="0" w:after="120"/>
        <w:ind w:left="0" w:firstLine="1418"/>
        <w:jc w:val="both"/>
        <w:rPr>
          <w:sz w:val="22"/>
          <w:szCs w:val="22"/>
        </w:rPr>
      </w:pPr>
      <w:r>
        <w:rPr>
          <w:b/>
          <w:sz w:val="22"/>
          <w:szCs w:val="22"/>
          <w:u w:val="single"/>
        </w:rPr>
        <w:t>Termination</w:t>
      </w:r>
      <w:r>
        <w:rPr>
          <w:sz w:val="22"/>
          <w:szCs w:val="22"/>
        </w:rPr>
        <w:t xml:space="preserve">. </w:t>
      </w:r>
      <w:r w:rsidRPr="0033557F">
        <w:rPr>
          <w:sz w:val="22"/>
          <w:szCs w:val="22"/>
        </w:rPr>
        <w:t xml:space="preserve">This instrument will expire and terminate (without relieving the Company of any obligations arising from a prior breach of </w:t>
      </w:r>
      <w:r w:rsidRPr="00AC5EBA">
        <w:rPr>
          <w:sz w:val="22"/>
          <w:szCs w:val="22"/>
        </w:rPr>
        <w:t xml:space="preserve">or non-compliance with this instrument) upon either (i) the issuance of </w:t>
      </w:r>
      <w:r w:rsidR="00815AAF" w:rsidRPr="00AC5EBA">
        <w:rPr>
          <w:sz w:val="22"/>
          <w:szCs w:val="22"/>
        </w:rPr>
        <w:t>shares</w:t>
      </w:r>
      <w:r w:rsidRPr="00AC5EBA">
        <w:rPr>
          <w:sz w:val="22"/>
          <w:szCs w:val="22"/>
        </w:rPr>
        <w:t xml:space="preserve"> to the Investor pursuant </w:t>
      </w:r>
      <w:r w:rsidRPr="0012442D">
        <w:rPr>
          <w:sz w:val="22"/>
          <w:szCs w:val="22"/>
        </w:rPr>
        <w:t>to Section</w:t>
      </w:r>
      <w:r w:rsidR="006D69B2">
        <w:rPr>
          <w:sz w:val="22"/>
          <w:szCs w:val="22"/>
        </w:rPr>
        <w:t>s</w:t>
      </w:r>
      <w:r w:rsidRPr="0012442D">
        <w:rPr>
          <w:sz w:val="22"/>
          <w:szCs w:val="22"/>
        </w:rPr>
        <w:t xml:space="preserve"> </w:t>
      </w:r>
      <w:r w:rsidR="004A1632">
        <w:rPr>
          <w:sz w:val="22"/>
          <w:szCs w:val="22"/>
        </w:rPr>
        <w:t>[</w:t>
      </w:r>
      <w:r w:rsidRPr="0012442D">
        <w:rPr>
          <w:sz w:val="22"/>
          <w:szCs w:val="22"/>
        </w:rPr>
        <w:t>1(a)</w:t>
      </w:r>
      <w:r w:rsidR="006D69B2">
        <w:rPr>
          <w:sz w:val="22"/>
          <w:szCs w:val="22"/>
        </w:rPr>
        <w:t>, 1(b), 1(c), or 1(d)</w:t>
      </w:r>
      <w:r w:rsidR="004A1632">
        <w:rPr>
          <w:sz w:val="22"/>
          <w:szCs w:val="22"/>
        </w:rPr>
        <w:t>]</w:t>
      </w:r>
      <w:r w:rsidRPr="0012442D">
        <w:rPr>
          <w:sz w:val="22"/>
          <w:szCs w:val="22"/>
        </w:rPr>
        <w:t>;</w:t>
      </w:r>
      <w:r w:rsidRPr="00AC5EBA">
        <w:rPr>
          <w:sz w:val="22"/>
          <w:szCs w:val="22"/>
        </w:rPr>
        <w:t xml:space="preserve"> or (ii) the payment, or setting aside for payment, of amounts due the Investor pursuant </w:t>
      </w:r>
      <w:r w:rsidRPr="0012442D">
        <w:rPr>
          <w:sz w:val="22"/>
          <w:szCs w:val="22"/>
        </w:rPr>
        <w:t xml:space="preserve">to Section </w:t>
      </w:r>
      <w:r w:rsidR="004A1632">
        <w:rPr>
          <w:sz w:val="22"/>
          <w:szCs w:val="22"/>
        </w:rPr>
        <w:t>[</w:t>
      </w:r>
      <w:r w:rsidRPr="0012442D">
        <w:rPr>
          <w:sz w:val="22"/>
          <w:szCs w:val="22"/>
        </w:rPr>
        <w:t>1(</w:t>
      </w:r>
      <w:r w:rsidR="006D69B2">
        <w:rPr>
          <w:sz w:val="22"/>
          <w:szCs w:val="22"/>
        </w:rPr>
        <w:t>e</w:t>
      </w:r>
      <w:r w:rsidRPr="0012442D">
        <w:rPr>
          <w:sz w:val="22"/>
          <w:szCs w:val="22"/>
        </w:rPr>
        <w:t>)</w:t>
      </w:r>
      <w:r w:rsidR="004A1632">
        <w:rPr>
          <w:sz w:val="22"/>
          <w:szCs w:val="22"/>
        </w:rPr>
        <w:t>]</w:t>
      </w:r>
      <w:r w:rsidRPr="0012442D">
        <w:rPr>
          <w:sz w:val="22"/>
          <w:szCs w:val="22"/>
        </w:rPr>
        <w:t>.</w:t>
      </w:r>
      <w:r w:rsidR="00F94B31" w:rsidRPr="00AC5EBA">
        <w:rPr>
          <w:sz w:val="22"/>
          <w:szCs w:val="22"/>
        </w:rPr>
        <w:t xml:space="preserve"> </w:t>
      </w:r>
    </w:p>
    <w:p w14:paraId="2E217E23" w14:textId="77777777" w:rsidR="00173695" w:rsidRPr="00B6025C" w:rsidRDefault="00817577" w:rsidP="00DB6B67">
      <w:pPr>
        <w:pStyle w:val="ListParagraph"/>
        <w:numPr>
          <w:ilvl w:val="0"/>
          <w:numId w:val="3"/>
        </w:numPr>
        <w:autoSpaceDE w:val="0"/>
        <w:autoSpaceDN w:val="0"/>
        <w:adjustRightInd w:val="0"/>
        <w:spacing w:before="0" w:after="120"/>
        <w:ind w:left="0" w:firstLine="709"/>
        <w:jc w:val="both"/>
        <w:rPr>
          <w:b/>
          <w:i/>
          <w:sz w:val="22"/>
          <w:szCs w:val="22"/>
        </w:rPr>
      </w:pPr>
      <w:r w:rsidRPr="00B6025C">
        <w:rPr>
          <w:b/>
          <w:i/>
          <w:sz w:val="22"/>
          <w:szCs w:val="22"/>
        </w:rPr>
        <w:t>Definitio</w:t>
      </w:r>
      <w:r w:rsidR="00846D58" w:rsidRPr="00B6025C">
        <w:rPr>
          <w:b/>
          <w:i/>
          <w:sz w:val="22"/>
          <w:szCs w:val="22"/>
        </w:rPr>
        <w:t>n</w:t>
      </w:r>
      <w:r w:rsidR="00785568" w:rsidRPr="00B6025C">
        <w:rPr>
          <w:b/>
          <w:i/>
          <w:sz w:val="22"/>
          <w:szCs w:val="22"/>
        </w:rPr>
        <w:t>s</w:t>
      </w:r>
    </w:p>
    <w:p w14:paraId="55F0CDC5" w14:textId="77777777" w:rsidR="00515627" w:rsidRDefault="00173695" w:rsidP="008C4B3F">
      <w:pPr>
        <w:tabs>
          <w:tab w:val="left" w:pos="360"/>
        </w:tabs>
        <w:autoSpaceDE w:val="0"/>
        <w:autoSpaceDN w:val="0"/>
        <w:adjustRightInd w:val="0"/>
        <w:spacing w:before="0" w:after="120"/>
        <w:jc w:val="both"/>
        <w:rPr>
          <w:sz w:val="22"/>
          <w:szCs w:val="22"/>
        </w:rPr>
      </w:pPr>
      <w:r>
        <w:rPr>
          <w:sz w:val="22"/>
          <w:szCs w:val="22"/>
        </w:rPr>
        <w:tab/>
      </w:r>
      <w:r w:rsidR="00515627">
        <w:rPr>
          <w:sz w:val="22"/>
          <w:szCs w:val="22"/>
        </w:rPr>
        <w:t>“</w:t>
      </w:r>
      <w:r w:rsidR="00815AAF" w:rsidRPr="00815AAF">
        <w:rPr>
          <w:b/>
          <w:bCs/>
          <w:sz w:val="22"/>
          <w:szCs w:val="22"/>
        </w:rPr>
        <w:t>Share</w:t>
      </w:r>
      <w:r w:rsidR="00815AAF">
        <w:rPr>
          <w:sz w:val="22"/>
          <w:szCs w:val="22"/>
        </w:rPr>
        <w:t xml:space="preserve"> </w:t>
      </w:r>
      <w:r w:rsidR="00515627" w:rsidRPr="00246B08">
        <w:rPr>
          <w:b/>
          <w:sz w:val="22"/>
          <w:szCs w:val="22"/>
        </w:rPr>
        <w:t>Capital</w:t>
      </w:r>
      <w:r w:rsidR="00515627">
        <w:rPr>
          <w:sz w:val="22"/>
          <w:szCs w:val="22"/>
        </w:rPr>
        <w:t xml:space="preserve">” means the </w:t>
      </w:r>
      <w:r w:rsidR="00815AAF">
        <w:rPr>
          <w:sz w:val="22"/>
          <w:szCs w:val="22"/>
        </w:rPr>
        <w:t xml:space="preserve">share </w:t>
      </w:r>
      <w:r w:rsidR="00515627">
        <w:rPr>
          <w:sz w:val="22"/>
          <w:szCs w:val="22"/>
        </w:rPr>
        <w:t>capital of the Company, including, without limitation, the “</w:t>
      </w:r>
      <w:r w:rsidR="00815AAF">
        <w:rPr>
          <w:b/>
          <w:sz w:val="22"/>
          <w:szCs w:val="22"/>
        </w:rPr>
        <w:t>Ordinary</w:t>
      </w:r>
      <w:r w:rsidR="00515627" w:rsidRPr="00246B08">
        <w:rPr>
          <w:b/>
          <w:sz w:val="22"/>
          <w:szCs w:val="22"/>
        </w:rPr>
        <w:t xml:space="preserve"> </w:t>
      </w:r>
      <w:r w:rsidR="00815AAF">
        <w:rPr>
          <w:b/>
          <w:sz w:val="22"/>
          <w:szCs w:val="22"/>
        </w:rPr>
        <w:t>Shares</w:t>
      </w:r>
      <w:r w:rsidR="00515627">
        <w:rPr>
          <w:sz w:val="22"/>
          <w:szCs w:val="22"/>
        </w:rPr>
        <w:t>” and the “</w:t>
      </w:r>
      <w:r w:rsidR="00515627" w:rsidRPr="00246B08">
        <w:rPr>
          <w:b/>
          <w:sz w:val="22"/>
          <w:szCs w:val="22"/>
        </w:rPr>
        <w:t xml:space="preserve">Preferred </w:t>
      </w:r>
      <w:r w:rsidR="00815AAF">
        <w:rPr>
          <w:b/>
          <w:sz w:val="22"/>
          <w:szCs w:val="22"/>
        </w:rPr>
        <w:t>Shares</w:t>
      </w:r>
      <w:r w:rsidR="00515627">
        <w:rPr>
          <w:sz w:val="22"/>
          <w:szCs w:val="22"/>
        </w:rPr>
        <w:t>.”</w:t>
      </w:r>
    </w:p>
    <w:p w14:paraId="1212DC3B" w14:textId="7D339ED9" w:rsidR="00817577" w:rsidRDefault="00515627" w:rsidP="008C4B3F">
      <w:pPr>
        <w:tabs>
          <w:tab w:val="left" w:pos="360"/>
        </w:tabs>
        <w:autoSpaceDE w:val="0"/>
        <w:autoSpaceDN w:val="0"/>
        <w:adjustRightInd w:val="0"/>
        <w:spacing w:before="0" w:after="12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xml:space="preserve">” </w:t>
      </w:r>
      <w:r w:rsidR="00815AAF" w:rsidRPr="00815AAF">
        <w:rPr>
          <w:sz w:val="22"/>
          <w:szCs w:val="22"/>
        </w:rPr>
        <w:t xml:space="preserve">means (i) a transaction or series of related transactions in which any “person” or “entity” becomes the “beneficial owner” </w:t>
      </w:r>
      <w:r w:rsidR="00E2051D">
        <w:rPr>
          <w:sz w:val="22"/>
          <w:szCs w:val="22"/>
        </w:rPr>
        <w:t xml:space="preserve">(within the meaning of Section 13(d) and 14(d) of the Securities Exchange Act of 1934, as amended), </w:t>
      </w:r>
      <w:r w:rsidR="00815AAF" w:rsidRPr="00815AAF">
        <w:rPr>
          <w:sz w:val="22"/>
          <w:szCs w:val="22"/>
        </w:rPr>
        <w:t>directly or indirectly, of more than 50% of the outstanding voting securities of the Company having the right to vote for the election of members of the Company’s board of directors, (ii)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w:t>
      </w:r>
      <w:r w:rsidR="00E855BE">
        <w:rPr>
          <w:sz w:val="22"/>
          <w:szCs w:val="22"/>
        </w:rPr>
        <w:t>,</w:t>
      </w:r>
      <w:r w:rsidR="00815AAF" w:rsidRPr="00815AAF">
        <w:rPr>
          <w:sz w:val="22"/>
          <w:szCs w:val="22"/>
        </w:rPr>
        <w:t xml:space="preserve"> or (iii) a sale, lease or other disposition of all or substantially all</w:t>
      </w:r>
      <w:r w:rsidR="00815AAF">
        <w:rPr>
          <w:sz w:val="22"/>
          <w:szCs w:val="22"/>
        </w:rPr>
        <w:t xml:space="preserve"> of the assets of the Company</w:t>
      </w:r>
      <w:r w:rsidR="00494CAE">
        <w:rPr>
          <w:sz w:val="22"/>
          <w:szCs w:val="22"/>
        </w:rPr>
        <w:t xml:space="preserve">; </w:t>
      </w:r>
      <w:r w:rsidR="00494CAE" w:rsidRPr="003E7476">
        <w:rPr>
          <w:sz w:val="22"/>
          <w:szCs w:val="22"/>
        </w:rPr>
        <w:t xml:space="preserve">provided, in each of sub-clauses (i) through (iii) above, that such transaction or series of transactions shall not be deemed a “Change of Control” unless </w:t>
      </w:r>
      <w:r w:rsidR="00B80A72">
        <w:rPr>
          <w:sz w:val="22"/>
          <w:szCs w:val="22"/>
        </w:rPr>
        <w:t>in</w:t>
      </w:r>
      <w:r w:rsidR="00B80A72" w:rsidRPr="003E7476">
        <w:rPr>
          <w:sz w:val="22"/>
          <w:szCs w:val="22"/>
        </w:rPr>
        <w:t xml:space="preserve"> compl</w:t>
      </w:r>
      <w:r w:rsidR="00B80A72">
        <w:rPr>
          <w:sz w:val="22"/>
          <w:szCs w:val="22"/>
        </w:rPr>
        <w:t>iance</w:t>
      </w:r>
      <w:r w:rsidR="00B80A72" w:rsidRPr="003E7476">
        <w:rPr>
          <w:sz w:val="22"/>
          <w:szCs w:val="22"/>
        </w:rPr>
        <w:t xml:space="preserve"> </w:t>
      </w:r>
      <w:r w:rsidR="00494CAE" w:rsidRPr="003E7476">
        <w:rPr>
          <w:sz w:val="22"/>
          <w:szCs w:val="22"/>
        </w:rPr>
        <w:t>with Sections 2.2.4, 2.3.2, 2.3.3 and 2.3.4 of the ITA Guidelines</w:t>
      </w:r>
      <w:r w:rsidR="00815AAF">
        <w:rPr>
          <w:sz w:val="22"/>
          <w:szCs w:val="22"/>
        </w:rPr>
        <w:t xml:space="preserve">. </w:t>
      </w:r>
    </w:p>
    <w:p w14:paraId="3B9D7C75" w14:textId="34956339" w:rsidR="00415313" w:rsidRPr="00415313" w:rsidRDefault="005203D9" w:rsidP="00415313">
      <w:pPr>
        <w:tabs>
          <w:tab w:val="left" w:pos="360"/>
        </w:tabs>
        <w:autoSpaceDE w:val="0"/>
        <w:autoSpaceDN w:val="0"/>
        <w:adjustRightInd w:val="0"/>
        <w:spacing w:before="0" w:after="120"/>
        <w:jc w:val="both"/>
        <w:rPr>
          <w:sz w:val="22"/>
          <w:szCs w:val="22"/>
        </w:rPr>
      </w:pPr>
      <w:r>
        <w:rPr>
          <w:sz w:val="22"/>
          <w:szCs w:val="22"/>
        </w:rPr>
        <w:lastRenderedPageBreak/>
        <w:tab/>
      </w:r>
      <w:r w:rsidR="00B550B7">
        <w:rPr>
          <w:rStyle w:val="DeltaViewDeletion"/>
          <w:strike w:val="0"/>
          <w:color w:val="auto"/>
          <w:sz w:val="22"/>
          <w:szCs w:val="22"/>
        </w:rPr>
        <w:t>“</w:t>
      </w:r>
      <w:r w:rsidR="00B550B7">
        <w:rPr>
          <w:rStyle w:val="DeltaViewDeletion"/>
          <w:b/>
          <w:bCs/>
          <w:strike w:val="0"/>
          <w:color w:val="auto"/>
          <w:sz w:val="22"/>
          <w:szCs w:val="22"/>
        </w:rPr>
        <w:t>Company Capitalization</w:t>
      </w:r>
      <w:r w:rsidR="00B550B7">
        <w:rPr>
          <w:rStyle w:val="DeltaViewDeletion"/>
          <w:strike w:val="0"/>
          <w:color w:val="auto"/>
          <w:sz w:val="22"/>
          <w:szCs w:val="22"/>
        </w:rPr>
        <w:t>”</w:t>
      </w:r>
      <w:r w:rsidR="00415313">
        <w:rPr>
          <w:sz w:val="22"/>
          <w:szCs w:val="22"/>
        </w:rPr>
        <w:t xml:space="preserve"> </w:t>
      </w:r>
      <w:r w:rsidR="00415313" w:rsidRPr="00415313">
        <w:rPr>
          <w:sz w:val="22"/>
          <w:szCs w:val="22"/>
        </w:rPr>
        <w:t xml:space="preserve">is calculated as of immediately prior to the Equity Financing and (without double-counting, in each case calculated on an as-converted to </w:t>
      </w:r>
      <w:r w:rsidR="00415313">
        <w:rPr>
          <w:sz w:val="22"/>
          <w:szCs w:val="22"/>
        </w:rPr>
        <w:t xml:space="preserve">Ordinary Shares </w:t>
      </w:r>
      <w:r w:rsidR="00415313" w:rsidRPr="00415313">
        <w:rPr>
          <w:sz w:val="22"/>
          <w:szCs w:val="22"/>
        </w:rPr>
        <w:t>basis)</w:t>
      </w:r>
      <w:r w:rsidR="00B80A72">
        <w:rPr>
          <w:sz w:val="22"/>
          <w:szCs w:val="22"/>
        </w:rPr>
        <w:t xml:space="preserve"> includes all</w:t>
      </w:r>
      <w:r w:rsidR="00415313" w:rsidRPr="00415313">
        <w:rPr>
          <w:sz w:val="22"/>
          <w:szCs w:val="22"/>
        </w:rPr>
        <w:t>:</w:t>
      </w:r>
    </w:p>
    <w:p w14:paraId="7F00E464" w14:textId="1F202B41" w:rsidR="00415313" w:rsidRDefault="00B80A72" w:rsidP="00DB6B67">
      <w:pPr>
        <w:pStyle w:val="ListParagraph"/>
        <w:numPr>
          <w:ilvl w:val="0"/>
          <w:numId w:val="6"/>
        </w:numPr>
        <w:tabs>
          <w:tab w:val="left" w:pos="360"/>
        </w:tabs>
        <w:autoSpaceDE w:val="0"/>
        <w:autoSpaceDN w:val="0"/>
        <w:adjustRightInd w:val="0"/>
        <w:spacing w:before="0" w:after="120"/>
        <w:rPr>
          <w:sz w:val="22"/>
          <w:szCs w:val="22"/>
        </w:rPr>
      </w:pPr>
      <w:r>
        <w:rPr>
          <w:sz w:val="22"/>
          <w:szCs w:val="22"/>
        </w:rPr>
        <w:t>S</w:t>
      </w:r>
      <w:r w:rsidR="00415313" w:rsidRPr="00BE7EF8">
        <w:rPr>
          <w:sz w:val="22"/>
          <w:szCs w:val="22"/>
        </w:rPr>
        <w:t>hares of Share Capital issued and outstanding;</w:t>
      </w:r>
    </w:p>
    <w:p w14:paraId="0224C3E8" w14:textId="32D8C9CC" w:rsidR="00415313" w:rsidRDefault="00364156" w:rsidP="00DB6B67">
      <w:pPr>
        <w:pStyle w:val="ListParagraph"/>
        <w:numPr>
          <w:ilvl w:val="0"/>
          <w:numId w:val="6"/>
        </w:numPr>
        <w:tabs>
          <w:tab w:val="left" w:pos="360"/>
        </w:tabs>
        <w:autoSpaceDE w:val="0"/>
        <w:autoSpaceDN w:val="0"/>
        <w:adjustRightInd w:val="0"/>
        <w:spacing w:before="0" w:after="120"/>
        <w:rPr>
          <w:sz w:val="22"/>
          <w:szCs w:val="22"/>
        </w:rPr>
      </w:pPr>
      <w:r>
        <w:rPr>
          <w:sz w:val="22"/>
          <w:szCs w:val="22"/>
        </w:rPr>
        <w:t>[</w:t>
      </w:r>
      <w:r w:rsidR="00415313" w:rsidRPr="00BE7EF8">
        <w:rPr>
          <w:sz w:val="22"/>
          <w:szCs w:val="22"/>
        </w:rPr>
        <w:t>Converting Securities</w:t>
      </w:r>
      <w:r>
        <w:rPr>
          <w:sz w:val="22"/>
          <w:szCs w:val="22"/>
        </w:rPr>
        <w:t>]</w:t>
      </w:r>
      <w:r w:rsidR="00415313" w:rsidRPr="00BE7EF8">
        <w:rPr>
          <w:sz w:val="22"/>
          <w:szCs w:val="22"/>
        </w:rPr>
        <w:t>;</w:t>
      </w:r>
      <w:r>
        <w:rPr>
          <w:rStyle w:val="FootnoteReference"/>
          <w:sz w:val="22"/>
          <w:szCs w:val="22"/>
        </w:rPr>
        <w:footnoteReference w:id="8"/>
      </w:r>
    </w:p>
    <w:p w14:paraId="1894A0FD" w14:textId="608899B7" w:rsidR="00415313" w:rsidRDefault="00415313" w:rsidP="00DB6B67">
      <w:pPr>
        <w:pStyle w:val="ListParagraph"/>
        <w:numPr>
          <w:ilvl w:val="0"/>
          <w:numId w:val="6"/>
        </w:numPr>
        <w:tabs>
          <w:tab w:val="left" w:pos="360"/>
        </w:tabs>
        <w:autoSpaceDE w:val="0"/>
        <w:autoSpaceDN w:val="0"/>
        <w:adjustRightInd w:val="0"/>
        <w:spacing w:before="0" w:after="120"/>
        <w:rPr>
          <w:sz w:val="22"/>
          <w:szCs w:val="22"/>
        </w:rPr>
      </w:pPr>
      <w:r w:rsidRPr="00BE7EF8">
        <w:rPr>
          <w:sz w:val="22"/>
          <w:szCs w:val="22"/>
        </w:rPr>
        <w:t xml:space="preserve">(i) issued and outstanding Options </w:t>
      </w:r>
      <w:r w:rsidR="00364156">
        <w:rPr>
          <w:sz w:val="22"/>
          <w:szCs w:val="22"/>
        </w:rPr>
        <w:t>[</w:t>
      </w:r>
      <w:r w:rsidRPr="00BE7EF8">
        <w:rPr>
          <w:sz w:val="22"/>
          <w:szCs w:val="22"/>
        </w:rPr>
        <w:t>and</w:t>
      </w:r>
      <w:r w:rsidR="00364156">
        <w:rPr>
          <w:sz w:val="22"/>
          <w:szCs w:val="22"/>
        </w:rPr>
        <w:t>]</w:t>
      </w:r>
      <w:r w:rsidRPr="00BE7EF8">
        <w:rPr>
          <w:sz w:val="22"/>
          <w:szCs w:val="22"/>
        </w:rPr>
        <w:t xml:space="preserve"> (ii) Promised Options</w:t>
      </w:r>
      <w:r w:rsidR="00364156">
        <w:rPr>
          <w:sz w:val="22"/>
          <w:szCs w:val="22"/>
        </w:rPr>
        <w:t xml:space="preserve"> [, </w:t>
      </w:r>
      <w:r w:rsidR="009959EA">
        <w:rPr>
          <w:sz w:val="22"/>
          <w:szCs w:val="22"/>
        </w:rPr>
        <w:t xml:space="preserve">warrants and other convertible securities and any adjustments </w:t>
      </w:r>
      <w:r w:rsidR="00B80A72">
        <w:rPr>
          <w:sz w:val="22"/>
          <w:szCs w:val="22"/>
        </w:rPr>
        <w:t xml:space="preserve">to </w:t>
      </w:r>
      <w:r w:rsidR="009959EA">
        <w:rPr>
          <w:sz w:val="22"/>
          <w:szCs w:val="22"/>
        </w:rPr>
        <w:t xml:space="preserve">numbers of shares triggered by anti-dilution events, but excluding (A) this instrument, (B) all other </w:t>
      </w:r>
      <w:r w:rsidR="000332CB">
        <w:rPr>
          <w:sz w:val="22"/>
          <w:szCs w:val="22"/>
        </w:rPr>
        <w:t>SAFE</w:t>
      </w:r>
      <w:r w:rsidR="009959EA">
        <w:rPr>
          <w:sz w:val="22"/>
          <w:szCs w:val="22"/>
        </w:rPr>
        <w:t>s, and (C) convertible promissory notes</w:t>
      </w:r>
      <w:r w:rsidR="00364156">
        <w:rPr>
          <w:sz w:val="22"/>
          <w:szCs w:val="22"/>
        </w:rPr>
        <w:t>]</w:t>
      </w:r>
      <w:r w:rsidR="00364156">
        <w:rPr>
          <w:rStyle w:val="FootnoteReference"/>
          <w:sz w:val="22"/>
          <w:szCs w:val="22"/>
        </w:rPr>
        <w:footnoteReference w:id="9"/>
      </w:r>
      <w:r w:rsidRPr="00BE7EF8">
        <w:rPr>
          <w:sz w:val="22"/>
          <w:szCs w:val="22"/>
        </w:rPr>
        <w:t>; and</w:t>
      </w:r>
    </w:p>
    <w:p w14:paraId="789778DB" w14:textId="5DCEED5A" w:rsidR="00435C52" w:rsidRPr="00BE7EF8" w:rsidRDefault="00B80A72" w:rsidP="00DB6B67">
      <w:pPr>
        <w:pStyle w:val="ListParagraph"/>
        <w:numPr>
          <w:ilvl w:val="0"/>
          <w:numId w:val="6"/>
        </w:numPr>
        <w:tabs>
          <w:tab w:val="left" w:pos="360"/>
        </w:tabs>
        <w:autoSpaceDE w:val="0"/>
        <w:autoSpaceDN w:val="0"/>
        <w:adjustRightInd w:val="0"/>
        <w:spacing w:before="0" w:after="120"/>
        <w:jc w:val="both"/>
        <w:rPr>
          <w:sz w:val="22"/>
          <w:szCs w:val="22"/>
        </w:rPr>
      </w:pPr>
      <w:r>
        <w:rPr>
          <w:sz w:val="22"/>
          <w:szCs w:val="22"/>
        </w:rPr>
        <w:t>T</w:t>
      </w:r>
      <w:r w:rsidR="00415313" w:rsidRPr="00BE7EF8">
        <w:rPr>
          <w:sz w:val="22"/>
          <w:szCs w:val="22"/>
        </w:rPr>
        <w:t>he Unissued Option Pool, except that any increase to the Unissued Option Pool in connection with the Equity Financing will only be included to the extent that the number of Promised Options exceeds the Unissued Option Pool prior to such increase.</w:t>
      </w:r>
    </w:p>
    <w:p w14:paraId="660456F4" w14:textId="2ADD80FA" w:rsidR="00967B0E" w:rsidRDefault="00435C52" w:rsidP="00BE7EF8">
      <w:pPr>
        <w:tabs>
          <w:tab w:val="left" w:pos="360"/>
        </w:tabs>
        <w:autoSpaceDE w:val="0"/>
        <w:autoSpaceDN w:val="0"/>
        <w:adjustRightInd w:val="0"/>
        <w:spacing w:before="0" w:after="120"/>
        <w:jc w:val="both"/>
        <w:rPr>
          <w:sz w:val="22"/>
          <w:szCs w:val="22"/>
        </w:rPr>
      </w:pPr>
      <w:r>
        <w:rPr>
          <w:sz w:val="22"/>
          <w:szCs w:val="22"/>
        </w:rPr>
        <w:tab/>
      </w:r>
      <w:r w:rsidR="00C605A6">
        <w:rPr>
          <w:sz w:val="22"/>
          <w:szCs w:val="22"/>
        </w:rPr>
        <w:t>“</w:t>
      </w:r>
      <w:r w:rsidR="00C605A6">
        <w:rPr>
          <w:b/>
          <w:sz w:val="22"/>
          <w:szCs w:val="22"/>
        </w:rPr>
        <w:t>Conversion Price</w:t>
      </w:r>
      <w:r w:rsidR="00C605A6">
        <w:rPr>
          <w:sz w:val="22"/>
          <w:szCs w:val="22"/>
        </w:rPr>
        <w:t xml:space="preserve">” means </w:t>
      </w:r>
      <w:r w:rsidR="00EB1731">
        <w:rPr>
          <w:sz w:val="22"/>
          <w:szCs w:val="22"/>
        </w:rPr>
        <w:t xml:space="preserve">either: (1) the </w:t>
      </w:r>
      <w:r w:rsidR="000332CB">
        <w:rPr>
          <w:sz w:val="22"/>
          <w:szCs w:val="22"/>
        </w:rPr>
        <w:t>SAFE</w:t>
      </w:r>
      <w:r w:rsidR="00EB1731">
        <w:rPr>
          <w:sz w:val="22"/>
          <w:szCs w:val="22"/>
        </w:rPr>
        <w:t xml:space="preserve"> Price</w:t>
      </w:r>
      <w:r w:rsidR="00B80A72">
        <w:rPr>
          <w:sz w:val="22"/>
          <w:szCs w:val="22"/>
        </w:rPr>
        <w:t>,</w:t>
      </w:r>
      <w:r w:rsidR="00EB1731">
        <w:rPr>
          <w:sz w:val="22"/>
          <w:szCs w:val="22"/>
        </w:rPr>
        <w:t xml:space="preserve"> or (2) the Discount Price, whichever calculation results in a greater number of </w:t>
      </w:r>
      <w:r w:rsidR="000332CB">
        <w:rPr>
          <w:sz w:val="22"/>
          <w:szCs w:val="22"/>
        </w:rPr>
        <w:t>SAFE</w:t>
      </w:r>
      <w:r w:rsidR="00EB1731">
        <w:rPr>
          <w:sz w:val="22"/>
          <w:szCs w:val="22"/>
        </w:rPr>
        <w:t xml:space="preserve"> Preferred </w:t>
      </w:r>
      <w:r w:rsidR="00815AAF">
        <w:rPr>
          <w:sz w:val="22"/>
          <w:szCs w:val="22"/>
        </w:rPr>
        <w:t>Shares</w:t>
      </w:r>
      <w:r w:rsidR="002858A4">
        <w:rPr>
          <w:sz w:val="22"/>
          <w:szCs w:val="22"/>
        </w:rPr>
        <w:t>.</w:t>
      </w:r>
    </w:p>
    <w:p w14:paraId="57CE9E4A" w14:textId="64FE1C28" w:rsidR="00495D98" w:rsidRPr="00065410" w:rsidRDefault="00495D98" w:rsidP="00BE7EF8">
      <w:pPr>
        <w:spacing w:before="0" w:after="120"/>
        <w:ind w:right="49" w:firstLine="1418"/>
        <w:jc w:val="both"/>
        <w:rPr>
          <w:rFonts w:asciiTheme="majorBidi" w:hAnsiTheme="majorBidi"/>
          <w:sz w:val="22"/>
        </w:rPr>
      </w:pPr>
      <w:r w:rsidRPr="00065410">
        <w:rPr>
          <w:rFonts w:asciiTheme="majorBidi" w:hAnsiTheme="majorBidi"/>
          <w:sz w:val="22"/>
        </w:rPr>
        <w:t>“</w:t>
      </w:r>
      <w:r w:rsidRPr="00065410">
        <w:rPr>
          <w:rFonts w:asciiTheme="majorBidi" w:hAnsiTheme="majorBidi"/>
          <w:b/>
          <w:sz w:val="22"/>
        </w:rPr>
        <w:t>Converting Securities</w:t>
      </w:r>
      <w:r w:rsidRPr="00065410">
        <w:rPr>
          <w:rFonts w:asciiTheme="majorBidi" w:hAnsiTheme="majorBidi"/>
          <w:sz w:val="22"/>
        </w:rPr>
        <w:t xml:space="preserve">” includes this </w:t>
      </w:r>
      <w:r w:rsidR="000332CB">
        <w:rPr>
          <w:rFonts w:asciiTheme="majorBidi" w:hAnsiTheme="majorBidi"/>
          <w:sz w:val="22"/>
        </w:rPr>
        <w:t>SAFE</w:t>
      </w:r>
      <w:r w:rsidRPr="00065410">
        <w:rPr>
          <w:rFonts w:asciiTheme="majorBidi" w:hAnsiTheme="majorBidi"/>
          <w:sz w:val="22"/>
        </w:rPr>
        <w:t xml:space="preserve"> and </w:t>
      </w:r>
      <w:r w:rsidR="00B80A72">
        <w:rPr>
          <w:rFonts w:asciiTheme="majorBidi" w:hAnsiTheme="majorBidi"/>
          <w:sz w:val="22"/>
        </w:rPr>
        <w:t xml:space="preserve">all </w:t>
      </w:r>
      <w:r w:rsidRPr="00065410">
        <w:rPr>
          <w:rFonts w:asciiTheme="majorBidi" w:hAnsiTheme="majorBidi"/>
          <w:sz w:val="22"/>
        </w:rPr>
        <w:t xml:space="preserve">other convertible securities issued by the Company, including but not limited to: (i) other </w:t>
      </w:r>
      <w:r w:rsidR="000332CB">
        <w:rPr>
          <w:rFonts w:asciiTheme="majorBidi" w:hAnsiTheme="majorBidi"/>
          <w:sz w:val="22"/>
        </w:rPr>
        <w:t>SAFE</w:t>
      </w:r>
      <w:r w:rsidRPr="00065410">
        <w:rPr>
          <w:rFonts w:asciiTheme="majorBidi" w:hAnsiTheme="majorBidi"/>
          <w:sz w:val="22"/>
        </w:rPr>
        <w:t xml:space="preserve">s; (ii) convertible promissory notes and other convertible debt instruments; and (iii) convertible securities that have the right to convert into shares of </w:t>
      </w:r>
      <w:r w:rsidRPr="00531FB7">
        <w:rPr>
          <w:rFonts w:asciiTheme="majorBidi" w:hAnsiTheme="majorBidi" w:cstheme="majorBidi"/>
          <w:sz w:val="22"/>
          <w:szCs w:val="22"/>
        </w:rPr>
        <w:t xml:space="preserve">Share </w:t>
      </w:r>
      <w:r w:rsidRPr="00065410">
        <w:rPr>
          <w:rFonts w:asciiTheme="majorBidi" w:hAnsiTheme="majorBidi"/>
          <w:sz w:val="22"/>
        </w:rPr>
        <w:t>Capital</w:t>
      </w:r>
      <w:r w:rsidRPr="00531FB7">
        <w:rPr>
          <w:rFonts w:asciiTheme="majorBidi" w:hAnsiTheme="majorBidi" w:cstheme="majorBidi"/>
          <w:sz w:val="22"/>
          <w:szCs w:val="22"/>
        </w:rPr>
        <w:t>.</w:t>
      </w:r>
    </w:p>
    <w:p w14:paraId="4F88AFF9" w14:textId="77777777" w:rsidR="007334B4" w:rsidRDefault="002858A4" w:rsidP="00BE7EF8">
      <w:pPr>
        <w:tabs>
          <w:tab w:val="left" w:pos="360"/>
        </w:tabs>
        <w:autoSpaceDE w:val="0"/>
        <w:autoSpaceDN w:val="0"/>
        <w:adjustRightInd w:val="0"/>
        <w:spacing w:before="0" w:after="120"/>
        <w:jc w:val="both"/>
        <w:rPr>
          <w:sz w:val="22"/>
          <w:szCs w:val="22"/>
        </w:rPr>
      </w:pPr>
      <w:r>
        <w:rPr>
          <w:sz w:val="22"/>
          <w:szCs w:val="22"/>
        </w:rPr>
        <w:tab/>
      </w:r>
      <w:r w:rsidR="007334B4">
        <w:rPr>
          <w:sz w:val="22"/>
          <w:szCs w:val="22"/>
        </w:rPr>
        <w:t>“</w:t>
      </w:r>
      <w:r w:rsidR="007334B4" w:rsidRPr="007334B4">
        <w:rPr>
          <w:b/>
          <w:sz w:val="22"/>
          <w:szCs w:val="22"/>
        </w:rPr>
        <w:t>Discount Price</w:t>
      </w:r>
      <w:r w:rsidR="007334B4">
        <w:rPr>
          <w:sz w:val="22"/>
          <w:szCs w:val="22"/>
        </w:rPr>
        <w:t xml:space="preserve">” </w:t>
      </w:r>
      <w:r w:rsidR="00834463">
        <w:rPr>
          <w:sz w:val="22"/>
          <w:szCs w:val="22"/>
        </w:rPr>
        <w:t xml:space="preserve">means the price per share of the Standard Preferred </w:t>
      </w:r>
      <w:r w:rsidR="00815AAF">
        <w:rPr>
          <w:sz w:val="22"/>
          <w:szCs w:val="22"/>
        </w:rPr>
        <w:t>Shares</w:t>
      </w:r>
      <w:r w:rsidR="00834463">
        <w:rPr>
          <w:sz w:val="22"/>
          <w:szCs w:val="22"/>
        </w:rPr>
        <w:t xml:space="preserve"> sold in the Equity Financing multiplied by the Discount Rate</w:t>
      </w:r>
      <w:r w:rsidR="000E24DA">
        <w:rPr>
          <w:sz w:val="22"/>
          <w:szCs w:val="22"/>
        </w:rPr>
        <w:t>, [provided however, that, in the event that the Discount Rate on the price per share of the Standard Preferred Shares triggers (by itself) the anti-dilution protection rights in accordance with the Company’s organizational documents or otherwise, the Discount Price shall be automatically adjusted to the lowest price not triggering such anti-dilution protection rights]</w:t>
      </w:r>
      <w:r w:rsidR="000E24DA">
        <w:rPr>
          <w:rStyle w:val="FootnoteReference"/>
          <w:sz w:val="22"/>
          <w:szCs w:val="22"/>
        </w:rPr>
        <w:footnoteReference w:id="10"/>
      </w:r>
      <w:r w:rsidR="007334B4">
        <w:rPr>
          <w:sz w:val="22"/>
          <w:szCs w:val="22"/>
        </w:rPr>
        <w:t xml:space="preserve">. </w:t>
      </w:r>
    </w:p>
    <w:p w14:paraId="5ACA0183" w14:textId="704504C0" w:rsidR="006F37FE" w:rsidRDefault="005C6652" w:rsidP="008C4B3F">
      <w:pPr>
        <w:tabs>
          <w:tab w:val="left" w:pos="360"/>
        </w:tabs>
        <w:autoSpaceDE w:val="0"/>
        <w:autoSpaceDN w:val="0"/>
        <w:adjustRightInd w:val="0"/>
        <w:spacing w:before="0" w:after="12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(i) a voluntary termination of operations, (ii) a general assignment for the benefit of the Company’s creditors</w:t>
      </w:r>
      <w:r w:rsidR="006035B1">
        <w:rPr>
          <w:sz w:val="22"/>
          <w:szCs w:val="22"/>
        </w:rPr>
        <w:t>,</w:t>
      </w:r>
      <w:r w:rsidR="00F211B2">
        <w:rPr>
          <w:sz w:val="22"/>
          <w:szCs w:val="22"/>
        </w:rPr>
        <w:t xml:space="preserve">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12A8F248" w14:textId="541B4E1D" w:rsidR="006636CE" w:rsidRDefault="008C4B3F" w:rsidP="00FA6914">
      <w:pPr>
        <w:tabs>
          <w:tab w:val="left" w:pos="360"/>
        </w:tabs>
        <w:autoSpaceDE w:val="0"/>
        <w:autoSpaceDN w:val="0"/>
        <w:adjustRightInd w:val="0"/>
        <w:spacing w:before="0" w:after="120"/>
        <w:ind w:firstLine="1418"/>
        <w:jc w:val="both"/>
        <w:rPr>
          <w:sz w:val="22"/>
          <w:szCs w:val="22"/>
        </w:rPr>
      </w:pPr>
      <w:r>
        <w:rPr>
          <w:sz w:val="22"/>
          <w:szCs w:val="22"/>
        </w:rPr>
        <w:t xml:space="preserve"> </w:t>
      </w:r>
      <w:r w:rsidR="00FA6914">
        <w:rPr>
          <w:sz w:val="22"/>
          <w:szCs w:val="22"/>
        </w:rPr>
        <w:t>[</w:t>
      </w:r>
      <w:r w:rsidR="006636CE">
        <w:rPr>
          <w:sz w:val="22"/>
          <w:szCs w:val="22"/>
        </w:rPr>
        <w:t>“</w:t>
      </w:r>
      <w:r w:rsidR="006636CE">
        <w:rPr>
          <w:b/>
          <w:sz w:val="22"/>
          <w:szCs w:val="22"/>
        </w:rPr>
        <w:t>Dividend Amount</w:t>
      </w:r>
      <w:r w:rsidR="006636CE">
        <w:rPr>
          <w:sz w:val="22"/>
          <w:szCs w:val="22"/>
        </w:rPr>
        <w:t>” means, with respect to any date on which the Company pays a dividend on its outstanding Ordinary Shares, the amount of such dividend that is paid per Ordinary Share multiplied by (x) the Purchase Amount divided by (y) the Liquidity Price (treating the dividend date as a Liquidity Event solely for purposes of calculating such Liquidity Price).</w:t>
      </w:r>
      <w:r w:rsidR="00FA6914">
        <w:rPr>
          <w:sz w:val="22"/>
          <w:szCs w:val="22"/>
        </w:rPr>
        <w:t>]</w:t>
      </w:r>
      <w:r w:rsidR="00FA6914">
        <w:rPr>
          <w:rStyle w:val="FootnoteReference"/>
          <w:sz w:val="22"/>
          <w:szCs w:val="22"/>
        </w:rPr>
        <w:footnoteReference w:id="11"/>
      </w:r>
    </w:p>
    <w:p w14:paraId="76637903" w14:textId="1D4418F0" w:rsidR="0043111A" w:rsidRDefault="006F37FE" w:rsidP="008C4B3F">
      <w:pPr>
        <w:tabs>
          <w:tab w:val="left" w:pos="360"/>
        </w:tabs>
        <w:autoSpaceDE w:val="0"/>
        <w:autoSpaceDN w:val="0"/>
        <w:adjustRightInd w:val="0"/>
        <w:spacing w:before="0" w:after="120"/>
        <w:jc w:val="both"/>
        <w:rPr>
          <w:sz w:val="22"/>
          <w:szCs w:val="22"/>
        </w:rPr>
      </w:pPr>
      <w:r>
        <w:rPr>
          <w:sz w:val="22"/>
          <w:szCs w:val="22"/>
        </w:rPr>
        <w:tab/>
      </w:r>
      <w:r w:rsidR="0043111A">
        <w:rPr>
          <w:sz w:val="22"/>
          <w:szCs w:val="22"/>
        </w:rPr>
        <w:t>“</w:t>
      </w:r>
      <w:r w:rsidR="0043111A">
        <w:rPr>
          <w:b/>
          <w:sz w:val="22"/>
          <w:szCs w:val="22"/>
        </w:rPr>
        <w:t>Equity</w:t>
      </w:r>
      <w:r w:rsidR="00184410">
        <w:rPr>
          <w:b/>
          <w:sz w:val="22"/>
          <w:szCs w:val="22"/>
        </w:rPr>
        <w:t xml:space="preserve"> </w:t>
      </w:r>
      <w:r w:rsidR="0043111A">
        <w:rPr>
          <w:b/>
          <w:sz w:val="22"/>
          <w:szCs w:val="22"/>
        </w:rPr>
        <w:t>Financing</w:t>
      </w:r>
      <w:r w:rsidR="0043111A">
        <w:rPr>
          <w:sz w:val="22"/>
          <w:szCs w:val="22"/>
        </w:rPr>
        <w:t xml:space="preserve">” </w:t>
      </w:r>
      <w:r w:rsidR="005E5934">
        <w:rPr>
          <w:sz w:val="22"/>
          <w:szCs w:val="22"/>
        </w:rPr>
        <w:t xml:space="preserve">means a bona fide transaction or series of transactions with the principal purpose of raising capital, pursuant to which the Company issues and sells Preferred </w:t>
      </w:r>
      <w:r w:rsidR="00815AAF">
        <w:rPr>
          <w:sz w:val="22"/>
          <w:szCs w:val="22"/>
        </w:rPr>
        <w:t>Share</w:t>
      </w:r>
      <w:r w:rsidR="00D36F90">
        <w:rPr>
          <w:sz w:val="22"/>
          <w:szCs w:val="22"/>
        </w:rPr>
        <w:t>s</w:t>
      </w:r>
      <w:r w:rsidR="005E5934">
        <w:rPr>
          <w:sz w:val="22"/>
          <w:szCs w:val="22"/>
        </w:rPr>
        <w:t xml:space="preserve"> at a </w:t>
      </w:r>
      <w:r w:rsidR="005E5934" w:rsidRPr="005E315A">
        <w:rPr>
          <w:sz w:val="22"/>
          <w:szCs w:val="22"/>
        </w:rPr>
        <w:t>fixed</w:t>
      </w:r>
      <w:r w:rsidR="005E5934">
        <w:rPr>
          <w:sz w:val="22"/>
          <w:szCs w:val="22"/>
        </w:rPr>
        <w:t xml:space="preserve"> pre-money valuation</w:t>
      </w:r>
      <w:r w:rsidR="002115C5">
        <w:rPr>
          <w:sz w:val="22"/>
          <w:szCs w:val="22"/>
        </w:rPr>
        <w:t xml:space="preserve"> [and</w:t>
      </w:r>
      <w:r w:rsidR="002115C5" w:rsidRPr="007B3AEE">
        <w:rPr>
          <w:sz w:val="22"/>
          <w:szCs w:val="22"/>
        </w:rPr>
        <w:t xml:space="preserve"> in which the aggregate amount of </w:t>
      </w:r>
      <w:r w:rsidR="002115C5">
        <w:rPr>
          <w:sz w:val="22"/>
          <w:szCs w:val="22"/>
        </w:rPr>
        <w:t>‘</w:t>
      </w:r>
      <w:r w:rsidR="002115C5" w:rsidRPr="00CA0FCF">
        <w:rPr>
          <w:sz w:val="22"/>
          <w:szCs w:val="22"/>
        </w:rPr>
        <w:t>new money</w:t>
      </w:r>
      <w:r w:rsidR="002115C5">
        <w:rPr>
          <w:sz w:val="22"/>
          <w:szCs w:val="22"/>
        </w:rPr>
        <w:t>’</w:t>
      </w:r>
      <w:r w:rsidR="002115C5" w:rsidRPr="00CA0FCF">
        <w:rPr>
          <w:sz w:val="22"/>
          <w:szCs w:val="22"/>
        </w:rPr>
        <w:t xml:space="preserve"> </w:t>
      </w:r>
      <w:r w:rsidR="002115C5">
        <w:rPr>
          <w:sz w:val="22"/>
          <w:szCs w:val="22"/>
        </w:rPr>
        <w:t xml:space="preserve">(i.e., excluding the </w:t>
      </w:r>
      <w:r w:rsidR="002115C5" w:rsidRPr="007B3AEE">
        <w:rPr>
          <w:sz w:val="22"/>
          <w:szCs w:val="22"/>
        </w:rPr>
        <w:t xml:space="preserve">Purchase Amount and the amount outstanding under other </w:t>
      </w:r>
      <w:r w:rsidR="000332CB">
        <w:rPr>
          <w:sz w:val="22"/>
          <w:szCs w:val="22"/>
        </w:rPr>
        <w:t>SAFE</w:t>
      </w:r>
      <w:r w:rsidR="002115C5" w:rsidRPr="007B3AEE">
        <w:rPr>
          <w:sz w:val="22"/>
          <w:szCs w:val="22"/>
        </w:rPr>
        <w:t>s</w:t>
      </w:r>
      <w:r w:rsidR="002115C5">
        <w:rPr>
          <w:sz w:val="22"/>
          <w:szCs w:val="22"/>
        </w:rPr>
        <w:t xml:space="preserve"> converted thereunder</w:t>
      </w:r>
      <w:r w:rsidR="002115C5" w:rsidRPr="007B3AEE">
        <w:rPr>
          <w:sz w:val="22"/>
          <w:szCs w:val="22"/>
        </w:rPr>
        <w:t>) received by the Company from</w:t>
      </w:r>
      <w:r w:rsidR="002115C5" w:rsidRPr="00CA0FCF">
        <w:rPr>
          <w:sz w:val="22"/>
          <w:szCs w:val="22"/>
        </w:rPr>
        <w:t xml:space="preserve"> investors </w:t>
      </w:r>
      <w:r w:rsidR="002115C5" w:rsidRPr="007B3AEE">
        <w:rPr>
          <w:sz w:val="22"/>
          <w:szCs w:val="22"/>
        </w:rPr>
        <w:t>represent at least 25% of the entire investment amount raised in such transaction or series of transactions</w:t>
      </w:r>
      <w:r w:rsidR="002115C5" w:rsidRPr="00CA0FCF">
        <w:rPr>
          <w:sz w:val="22"/>
          <w:szCs w:val="22"/>
        </w:rPr>
        <w:t xml:space="preserve"> </w:t>
      </w:r>
      <w:r w:rsidR="002115C5" w:rsidRPr="007B3AEE">
        <w:rPr>
          <w:sz w:val="22"/>
          <w:szCs w:val="22"/>
        </w:rPr>
        <w:t>(</w:t>
      </w:r>
      <w:r w:rsidR="002115C5">
        <w:rPr>
          <w:sz w:val="22"/>
          <w:szCs w:val="22"/>
        </w:rPr>
        <w:t xml:space="preserve">i.e., </w:t>
      </w:r>
      <w:r w:rsidR="002115C5" w:rsidRPr="007B3AEE">
        <w:rPr>
          <w:sz w:val="22"/>
          <w:szCs w:val="22"/>
        </w:rPr>
        <w:t xml:space="preserve">including through the Purchase Amount and the amount outstanding under other </w:t>
      </w:r>
      <w:r w:rsidR="000332CB">
        <w:rPr>
          <w:sz w:val="22"/>
          <w:szCs w:val="22"/>
        </w:rPr>
        <w:t>SAFE</w:t>
      </w:r>
      <w:r w:rsidR="002115C5" w:rsidRPr="007B3AEE">
        <w:rPr>
          <w:sz w:val="22"/>
          <w:szCs w:val="22"/>
        </w:rPr>
        <w:t>s)</w:t>
      </w:r>
      <w:r w:rsidR="002115C5">
        <w:rPr>
          <w:sz w:val="22"/>
          <w:szCs w:val="22"/>
        </w:rPr>
        <w:t>.</w:t>
      </w:r>
      <w:r w:rsidR="002115C5" w:rsidRPr="00CA0FCF">
        <w:rPr>
          <w:sz w:val="22"/>
          <w:szCs w:val="22"/>
        </w:rPr>
        <w:t xml:space="preserve"> </w:t>
      </w:r>
      <w:r w:rsidR="002115C5">
        <w:rPr>
          <w:sz w:val="22"/>
          <w:szCs w:val="22"/>
        </w:rPr>
        <w:t>F</w:t>
      </w:r>
      <w:r w:rsidR="002115C5" w:rsidRPr="00CA0FCF">
        <w:rPr>
          <w:sz w:val="22"/>
          <w:szCs w:val="22"/>
        </w:rPr>
        <w:t xml:space="preserve">or </w:t>
      </w:r>
      <w:r w:rsidR="002115C5">
        <w:rPr>
          <w:sz w:val="22"/>
          <w:szCs w:val="22"/>
        </w:rPr>
        <w:t xml:space="preserve">the </w:t>
      </w:r>
      <w:r w:rsidR="002115C5" w:rsidRPr="00CA0FCF">
        <w:rPr>
          <w:sz w:val="22"/>
          <w:szCs w:val="22"/>
        </w:rPr>
        <w:t>avoidance of doubt, new money invested by</w:t>
      </w:r>
      <w:r w:rsidR="002115C5">
        <w:rPr>
          <w:sz w:val="22"/>
          <w:szCs w:val="22"/>
        </w:rPr>
        <w:t xml:space="preserve"> holders of</w:t>
      </w:r>
      <w:r w:rsidR="002115C5" w:rsidRPr="00CA0FCF">
        <w:rPr>
          <w:sz w:val="22"/>
          <w:szCs w:val="22"/>
        </w:rPr>
        <w:t xml:space="preserve"> </w:t>
      </w:r>
      <w:r w:rsidR="000332CB">
        <w:rPr>
          <w:sz w:val="22"/>
          <w:szCs w:val="22"/>
        </w:rPr>
        <w:t>SAFE</w:t>
      </w:r>
      <w:r w:rsidR="002115C5">
        <w:rPr>
          <w:sz w:val="22"/>
          <w:szCs w:val="22"/>
        </w:rPr>
        <w:t>s</w:t>
      </w:r>
      <w:r w:rsidR="002115C5" w:rsidRPr="00CA0FCF">
        <w:rPr>
          <w:sz w:val="22"/>
          <w:szCs w:val="22"/>
        </w:rPr>
        <w:t xml:space="preserve"> as part of an Equity Financing (i.e., in addition to the money invested by such </w:t>
      </w:r>
      <w:r w:rsidR="000332CB">
        <w:rPr>
          <w:sz w:val="22"/>
          <w:szCs w:val="22"/>
        </w:rPr>
        <w:t>SAFE</w:t>
      </w:r>
      <w:r w:rsidR="002115C5" w:rsidRPr="00CA0FCF">
        <w:rPr>
          <w:sz w:val="22"/>
          <w:szCs w:val="22"/>
        </w:rPr>
        <w:t xml:space="preserve"> holders pursuant to such </w:t>
      </w:r>
      <w:r w:rsidR="000332CB">
        <w:rPr>
          <w:sz w:val="22"/>
          <w:szCs w:val="22"/>
        </w:rPr>
        <w:t>SAFE</w:t>
      </w:r>
      <w:r w:rsidR="002115C5" w:rsidRPr="00CA0FCF">
        <w:rPr>
          <w:sz w:val="22"/>
          <w:szCs w:val="22"/>
        </w:rPr>
        <w:t xml:space="preserve">(s)), will be </w:t>
      </w:r>
      <w:r w:rsidR="002115C5">
        <w:rPr>
          <w:sz w:val="22"/>
          <w:szCs w:val="22"/>
        </w:rPr>
        <w:t>taken into account for the purposes of such 25% threshold</w:t>
      </w:r>
      <w:r w:rsidR="004A7625" w:rsidRPr="008C4B3F">
        <w:rPr>
          <w:sz w:val="22"/>
          <w:szCs w:val="22"/>
        </w:rPr>
        <w:t>.</w:t>
      </w:r>
    </w:p>
    <w:p w14:paraId="61266585" w14:textId="2A6C85DF" w:rsidR="00F43A4F" w:rsidRDefault="00752AF8" w:rsidP="008C4B3F">
      <w:pPr>
        <w:tabs>
          <w:tab w:val="left" w:pos="360"/>
        </w:tabs>
        <w:autoSpaceDE w:val="0"/>
        <w:autoSpaceDN w:val="0"/>
        <w:adjustRightInd w:val="0"/>
        <w:spacing w:before="0" w:after="120"/>
        <w:jc w:val="both"/>
        <w:rPr>
          <w:sz w:val="22"/>
          <w:szCs w:val="22"/>
        </w:rPr>
      </w:pPr>
      <w:r>
        <w:rPr>
          <w:sz w:val="22"/>
          <w:szCs w:val="22"/>
        </w:rPr>
        <w:lastRenderedPageBreak/>
        <w:tab/>
      </w:r>
      <w:r w:rsidR="00F43A4F">
        <w:rPr>
          <w:sz w:val="22"/>
          <w:szCs w:val="22"/>
        </w:rPr>
        <w:t>“</w:t>
      </w:r>
      <w:r w:rsidR="00F43A4F">
        <w:rPr>
          <w:b/>
          <w:sz w:val="22"/>
          <w:szCs w:val="22"/>
        </w:rPr>
        <w:t>Initial Public Offering</w:t>
      </w:r>
      <w:r w:rsidR="00F43A4F">
        <w:rPr>
          <w:sz w:val="22"/>
          <w:szCs w:val="22"/>
        </w:rPr>
        <w:t>” means the closing of the Company’s first firm commitment underwritten</w:t>
      </w:r>
      <w:r w:rsidR="00DB124C">
        <w:rPr>
          <w:sz w:val="22"/>
          <w:szCs w:val="22"/>
        </w:rPr>
        <w:t xml:space="preserve"> initial public offering of </w:t>
      </w:r>
      <w:r w:rsidR="00815AAF">
        <w:rPr>
          <w:sz w:val="22"/>
          <w:szCs w:val="22"/>
        </w:rPr>
        <w:t>Ordinary</w:t>
      </w:r>
      <w:r w:rsidR="00815AAF" w:rsidRPr="00435C52">
        <w:rPr>
          <w:sz w:val="22"/>
          <w:szCs w:val="22"/>
        </w:rPr>
        <w:t xml:space="preserve"> </w:t>
      </w:r>
      <w:r w:rsidR="00815AAF">
        <w:rPr>
          <w:sz w:val="22"/>
          <w:szCs w:val="22"/>
        </w:rPr>
        <w:t xml:space="preserve">Shares </w:t>
      </w:r>
      <w:r w:rsidR="00F43A4F">
        <w:rPr>
          <w:sz w:val="22"/>
          <w:szCs w:val="22"/>
        </w:rPr>
        <w:t>pursuant to a registration statement filed under the Securities Act</w:t>
      </w:r>
      <w:r w:rsidR="004C1093" w:rsidRPr="004C1093">
        <w:rPr>
          <w:rFonts w:asciiTheme="majorBidi" w:hAnsiTheme="majorBidi" w:cstheme="majorBidi"/>
          <w:sz w:val="22"/>
          <w:szCs w:val="22"/>
        </w:rPr>
        <w:t xml:space="preserve"> </w:t>
      </w:r>
      <w:r w:rsidR="004C1093" w:rsidRPr="0091603C">
        <w:rPr>
          <w:rFonts w:asciiTheme="majorBidi" w:hAnsiTheme="majorBidi" w:cstheme="majorBidi"/>
          <w:sz w:val="22"/>
          <w:szCs w:val="22"/>
        </w:rPr>
        <w:t>or the laws of any other applicable jurisdiction</w:t>
      </w:r>
      <w:r w:rsidR="00F43A4F">
        <w:rPr>
          <w:sz w:val="22"/>
          <w:szCs w:val="22"/>
        </w:rPr>
        <w:t>.</w:t>
      </w:r>
    </w:p>
    <w:p w14:paraId="6BF6E7D4" w14:textId="1F5E8043" w:rsidR="00147C09" w:rsidRDefault="00147C09" w:rsidP="002E26E3">
      <w:pPr>
        <w:tabs>
          <w:tab w:val="left" w:pos="360"/>
        </w:tabs>
        <w:autoSpaceDE w:val="0"/>
        <w:autoSpaceDN w:val="0"/>
        <w:adjustRightInd w:val="0"/>
        <w:spacing w:before="0" w:after="120"/>
        <w:ind w:firstLine="1418"/>
        <w:jc w:val="both"/>
        <w:rPr>
          <w:sz w:val="22"/>
          <w:szCs w:val="22"/>
        </w:rPr>
      </w:pPr>
      <w:r w:rsidRPr="003E7476">
        <w:rPr>
          <w:sz w:val="22"/>
          <w:szCs w:val="22"/>
        </w:rPr>
        <w:t>“</w:t>
      </w:r>
      <w:r w:rsidRPr="003E7476">
        <w:rPr>
          <w:b/>
          <w:bCs/>
          <w:sz w:val="22"/>
          <w:szCs w:val="22"/>
        </w:rPr>
        <w:t>ITA</w:t>
      </w:r>
      <w:r w:rsidRPr="003E7476">
        <w:rPr>
          <w:sz w:val="22"/>
          <w:szCs w:val="22"/>
        </w:rPr>
        <w:t>” means the Israel Tax Authority</w:t>
      </w:r>
      <w:r>
        <w:rPr>
          <w:sz w:val="22"/>
          <w:szCs w:val="22"/>
        </w:rPr>
        <w:t>.</w:t>
      </w:r>
    </w:p>
    <w:p w14:paraId="19117BDB" w14:textId="046CE43D" w:rsidR="002E26E3" w:rsidRPr="00F43A4F" w:rsidRDefault="002E26E3" w:rsidP="002E26E3">
      <w:pPr>
        <w:tabs>
          <w:tab w:val="left" w:pos="360"/>
        </w:tabs>
        <w:autoSpaceDE w:val="0"/>
        <w:autoSpaceDN w:val="0"/>
        <w:adjustRightInd w:val="0"/>
        <w:spacing w:before="0" w:after="120"/>
        <w:ind w:firstLine="1418"/>
        <w:jc w:val="both"/>
        <w:rPr>
          <w:sz w:val="22"/>
          <w:szCs w:val="22"/>
        </w:rPr>
      </w:pPr>
      <w:r w:rsidRPr="003E7476">
        <w:rPr>
          <w:sz w:val="22"/>
          <w:szCs w:val="22"/>
        </w:rPr>
        <w:t>“</w:t>
      </w:r>
      <w:r w:rsidRPr="003E7476">
        <w:rPr>
          <w:b/>
          <w:bCs/>
          <w:sz w:val="22"/>
          <w:szCs w:val="22"/>
        </w:rPr>
        <w:t>ITA Guidelines</w:t>
      </w:r>
      <w:r w:rsidRPr="003E7476">
        <w:rPr>
          <w:sz w:val="22"/>
          <w:szCs w:val="22"/>
        </w:rPr>
        <w:t xml:space="preserve">” means the letter dated </w:t>
      </w:r>
      <w:r w:rsidR="00780501">
        <w:rPr>
          <w:sz w:val="22"/>
          <w:szCs w:val="22"/>
        </w:rPr>
        <w:t>January 29, 2025</w:t>
      </w:r>
      <w:r w:rsidR="00E855BE">
        <w:rPr>
          <w:sz w:val="22"/>
          <w:szCs w:val="22"/>
        </w:rPr>
        <w:t>,</w:t>
      </w:r>
      <w:r w:rsidRPr="003E7476">
        <w:rPr>
          <w:sz w:val="22"/>
          <w:szCs w:val="22"/>
        </w:rPr>
        <w:t xml:space="preserve"> published by the Israel Tax Authority</w:t>
      </w:r>
      <w:r w:rsidR="006A5638">
        <w:rPr>
          <w:sz w:val="22"/>
          <w:szCs w:val="22"/>
        </w:rPr>
        <w:t>,</w:t>
      </w:r>
      <w:r w:rsidRPr="003E7476">
        <w:rPr>
          <w:sz w:val="22"/>
          <w:szCs w:val="22"/>
        </w:rPr>
        <w:t xml:space="preserve"> entitled “</w:t>
      </w:r>
      <w:r w:rsidR="00E855BE">
        <w:rPr>
          <w:sz w:val="22"/>
          <w:szCs w:val="22"/>
        </w:rPr>
        <w:t>G</w:t>
      </w:r>
      <w:r w:rsidR="00E855BE" w:rsidRPr="003E7476">
        <w:rPr>
          <w:sz w:val="22"/>
          <w:szCs w:val="22"/>
        </w:rPr>
        <w:t xml:space="preserve">uidelines </w:t>
      </w:r>
      <w:r w:rsidRPr="003E7476">
        <w:rPr>
          <w:sz w:val="22"/>
          <w:szCs w:val="22"/>
        </w:rPr>
        <w:t xml:space="preserve">on tax aspects which shall apply in an investment in a company through a </w:t>
      </w:r>
      <w:r w:rsidR="000332CB">
        <w:rPr>
          <w:sz w:val="22"/>
          <w:szCs w:val="22"/>
        </w:rPr>
        <w:t>SAFE</w:t>
      </w:r>
      <w:r w:rsidRPr="003E7476">
        <w:rPr>
          <w:sz w:val="22"/>
          <w:szCs w:val="22"/>
        </w:rPr>
        <w:t xml:space="preserve">”. All Sections </w:t>
      </w:r>
      <w:r w:rsidR="006A5638">
        <w:rPr>
          <w:sz w:val="22"/>
          <w:szCs w:val="22"/>
        </w:rPr>
        <w:t>of</w:t>
      </w:r>
      <w:r w:rsidR="006A5638" w:rsidRPr="003E7476">
        <w:rPr>
          <w:sz w:val="22"/>
          <w:szCs w:val="22"/>
        </w:rPr>
        <w:t xml:space="preserve"> </w:t>
      </w:r>
      <w:r w:rsidRPr="003E7476">
        <w:rPr>
          <w:sz w:val="22"/>
          <w:szCs w:val="22"/>
        </w:rPr>
        <w:t>the ITA Guidelines referenced herein shall be deemed incorporated herein by reference.</w:t>
      </w:r>
    </w:p>
    <w:p w14:paraId="61C5D472" w14:textId="4CC743B4" w:rsidR="00B33464" w:rsidRDefault="00F43A4F" w:rsidP="00542EBC">
      <w:pPr>
        <w:tabs>
          <w:tab w:val="left" w:pos="360"/>
        </w:tabs>
        <w:autoSpaceDE w:val="0"/>
        <w:autoSpaceDN w:val="0"/>
        <w:adjustRightInd w:val="0"/>
        <w:spacing w:before="0" w:after="120"/>
        <w:jc w:val="both"/>
        <w:rPr>
          <w:rStyle w:val="DeltaViewDeletion"/>
          <w:strike w:val="0"/>
          <w:color w:val="auto"/>
          <w:sz w:val="22"/>
          <w:szCs w:val="22"/>
        </w:rPr>
      </w:pPr>
      <w:r>
        <w:rPr>
          <w:sz w:val="22"/>
          <w:szCs w:val="22"/>
        </w:rPr>
        <w:tab/>
      </w:r>
      <w:r w:rsidR="004514BE" w:rsidRPr="00DF66A9">
        <w:rPr>
          <w:sz w:val="22"/>
          <w:szCs w:val="22"/>
        </w:rPr>
        <w:t>“</w:t>
      </w:r>
      <w:r w:rsidR="004514BE" w:rsidRPr="00DF66A9">
        <w:rPr>
          <w:b/>
          <w:sz w:val="22"/>
          <w:szCs w:val="22"/>
        </w:rPr>
        <w:t>Liquidity Capitalization</w:t>
      </w:r>
      <w:r w:rsidR="004514BE" w:rsidRPr="002600BF">
        <w:rPr>
          <w:sz w:val="22"/>
          <w:szCs w:val="22"/>
        </w:rPr>
        <w:t xml:space="preserve">” </w:t>
      </w:r>
      <w:r w:rsidR="00B33464">
        <w:rPr>
          <w:sz w:val="22"/>
          <w:szCs w:val="22"/>
        </w:rPr>
        <w:t>[</w:t>
      </w:r>
      <w:r w:rsidR="00542EBC" w:rsidRPr="002600BF">
        <w:rPr>
          <w:sz w:val="22"/>
          <w:szCs w:val="22"/>
        </w:rPr>
        <w:t xml:space="preserve">means </w:t>
      </w:r>
      <w:r w:rsidR="00542EBC">
        <w:rPr>
          <w:sz w:val="22"/>
          <w:szCs w:val="22"/>
        </w:rPr>
        <w:t xml:space="preserve">the number, </w:t>
      </w:r>
      <w:r w:rsidR="00542EBC">
        <w:rPr>
          <w:rStyle w:val="DeltaViewDeletion"/>
          <w:strike w:val="0"/>
          <w:color w:val="auto"/>
          <w:sz w:val="22"/>
          <w:szCs w:val="22"/>
        </w:rPr>
        <w:t>as of immediately prior to the Liquidity Event,</w:t>
      </w:r>
      <w:r w:rsidR="00542EBC">
        <w:rPr>
          <w:sz w:val="22"/>
          <w:szCs w:val="22"/>
        </w:rPr>
        <w:t xml:space="preserve"> of </w:t>
      </w:r>
      <w:r w:rsidR="00542EBC" w:rsidRPr="002600BF">
        <w:rPr>
          <w:rStyle w:val="DeltaViewDeletion"/>
          <w:strike w:val="0"/>
          <w:color w:val="auto"/>
          <w:sz w:val="22"/>
          <w:szCs w:val="22"/>
        </w:rPr>
        <w:t xml:space="preserve">shares of </w:t>
      </w:r>
      <w:r w:rsidR="00542EBC">
        <w:rPr>
          <w:rStyle w:val="DeltaViewDeletion"/>
          <w:strike w:val="0"/>
          <w:color w:val="auto"/>
          <w:sz w:val="22"/>
          <w:szCs w:val="22"/>
        </w:rPr>
        <w:t xml:space="preserve">Share Capital </w:t>
      </w:r>
      <w:r w:rsidR="00542EBC" w:rsidRPr="002600BF">
        <w:rPr>
          <w:rStyle w:val="DeltaViewDeletion"/>
          <w:strike w:val="0"/>
          <w:color w:val="auto"/>
          <w:sz w:val="22"/>
          <w:szCs w:val="22"/>
        </w:rPr>
        <w:t xml:space="preserve">(on an as-converted basis) outstanding, assuming exercise or conversion of all </w:t>
      </w:r>
      <w:r w:rsidR="00542EBC">
        <w:rPr>
          <w:rStyle w:val="DeltaViewDeletion"/>
          <w:strike w:val="0"/>
          <w:color w:val="auto"/>
          <w:sz w:val="22"/>
          <w:szCs w:val="22"/>
        </w:rPr>
        <w:t xml:space="preserve">issued and </w:t>
      </w:r>
      <w:r w:rsidR="00542EBC" w:rsidRPr="002600BF">
        <w:rPr>
          <w:rStyle w:val="DeltaViewDeletion"/>
          <w:strike w:val="0"/>
          <w:color w:val="auto"/>
          <w:sz w:val="22"/>
          <w:szCs w:val="22"/>
        </w:rPr>
        <w:t xml:space="preserve">outstanding </w:t>
      </w:r>
      <w:r w:rsidR="00542EBC">
        <w:rPr>
          <w:rStyle w:val="DeltaViewDeletion"/>
          <w:strike w:val="0"/>
          <w:color w:val="auto"/>
          <w:sz w:val="22"/>
          <w:szCs w:val="22"/>
        </w:rPr>
        <w:t>O</w:t>
      </w:r>
      <w:r w:rsidR="00542EBC" w:rsidRPr="002600BF">
        <w:rPr>
          <w:rStyle w:val="DeltaViewDeletion"/>
          <w:strike w:val="0"/>
          <w:color w:val="auto"/>
          <w:sz w:val="22"/>
          <w:szCs w:val="22"/>
        </w:rPr>
        <w:t xml:space="preserve">ptions, </w:t>
      </w:r>
      <w:r w:rsidR="00542EBC">
        <w:rPr>
          <w:rStyle w:val="DeltaViewDeletion"/>
          <w:strike w:val="0"/>
          <w:color w:val="auto"/>
          <w:sz w:val="22"/>
          <w:szCs w:val="22"/>
        </w:rPr>
        <w:t xml:space="preserve">Promised Options, </w:t>
      </w:r>
      <w:r w:rsidR="00542EBC" w:rsidRPr="002600BF">
        <w:rPr>
          <w:rStyle w:val="DeltaViewDeletion"/>
          <w:strike w:val="0"/>
          <w:color w:val="auto"/>
          <w:sz w:val="22"/>
          <w:szCs w:val="22"/>
        </w:rPr>
        <w:t xml:space="preserve">warrants and other convertible securities, </w:t>
      </w:r>
      <w:r w:rsidR="00542EBC" w:rsidRPr="00EC1967">
        <w:rPr>
          <w:rStyle w:val="DeltaViewDeletion"/>
          <w:strike w:val="0"/>
          <w:color w:val="auto"/>
          <w:sz w:val="22"/>
          <w:szCs w:val="22"/>
        </w:rPr>
        <w:t>but</w:t>
      </w:r>
      <w:r w:rsidR="00542EBC" w:rsidRPr="004C5DA0">
        <w:rPr>
          <w:rStyle w:val="DeltaViewDeletion"/>
          <w:b/>
          <w:strike w:val="0"/>
          <w:color w:val="auto"/>
          <w:sz w:val="22"/>
          <w:szCs w:val="22"/>
        </w:rPr>
        <w:t xml:space="preserve"> </w:t>
      </w:r>
      <w:r w:rsidR="00542EBC" w:rsidRPr="0027541B">
        <w:rPr>
          <w:rStyle w:val="DeltaViewDeletion"/>
          <w:b/>
          <w:strike w:val="0"/>
          <w:color w:val="auto"/>
          <w:sz w:val="22"/>
          <w:szCs w:val="22"/>
          <w:u w:val="single"/>
        </w:rPr>
        <w:t>excluding</w:t>
      </w:r>
      <w:r w:rsidR="00542EBC">
        <w:rPr>
          <w:rStyle w:val="DeltaViewDeletion"/>
          <w:strike w:val="0"/>
          <w:color w:val="auto"/>
          <w:sz w:val="22"/>
          <w:szCs w:val="22"/>
        </w:rPr>
        <w:t>:</w:t>
      </w:r>
      <w:r w:rsidR="00542EBC" w:rsidRPr="002600BF">
        <w:rPr>
          <w:rStyle w:val="DeltaViewDeletion"/>
          <w:strike w:val="0"/>
          <w:color w:val="auto"/>
          <w:sz w:val="22"/>
          <w:szCs w:val="22"/>
        </w:rPr>
        <w:t xml:space="preserve"> (i) </w:t>
      </w:r>
      <w:r w:rsidR="00542EBC" w:rsidRPr="00542EBC">
        <w:rPr>
          <w:sz w:val="22"/>
          <w:szCs w:val="22"/>
        </w:rPr>
        <w:t>Unissued Option Pool</w:t>
      </w:r>
      <w:r w:rsidR="00542EBC">
        <w:rPr>
          <w:rStyle w:val="DeltaViewDeletion"/>
          <w:strike w:val="0"/>
          <w:color w:val="auto"/>
          <w:sz w:val="22"/>
          <w:szCs w:val="22"/>
        </w:rPr>
        <w:t>; (ii) this SAFE; (iii) other SAFE;</w:t>
      </w:r>
      <w:r w:rsidR="00542EBC" w:rsidRPr="002600BF">
        <w:rPr>
          <w:rStyle w:val="DeltaViewDeletion"/>
          <w:strike w:val="0"/>
          <w:color w:val="auto"/>
          <w:sz w:val="22"/>
          <w:szCs w:val="22"/>
        </w:rPr>
        <w:t xml:space="preserve"> and (iv) convertible promissory notes.</w:t>
      </w:r>
      <w:r w:rsidR="00B33464">
        <w:rPr>
          <w:rStyle w:val="DeltaViewDeletion"/>
          <w:strike w:val="0"/>
          <w:color w:val="auto"/>
          <w:sz w:val="22"/>
          <w:szCs w:val="22"/>
        </w:rPr>
        <w:t>]</w:t>
      </w:r>
      <w:r w:rsidR="00B33464">
        <w:rPr>
          <w:rStyle w:val="FootnoteReference"/>
          <w:sz w:val="22"/>
          <w:szCs w:val="22"/>
        </w:rPr>
        <w:footnoteReference w:id="12"/>
      </w:r>
    </w:p>
    <w:p w14:paraId="681C0A2F" w14:textId="22D32858" w:rsidR="00B33464" w:rsidRDefault="00B33464" w:rsidP="00542EBC">
      <w:pPr>
        <w:tabs>
          <w:tab w:val="left" w:pos="360"/>
        </w:tabs>
        <w:autoSpaceDE w:val="0"/>
        <w:autoSpaceDN w:val="0"/>
        <w:adjustRightInd w:val="0"/>
        <w:spacing w:before="0" w:after="120"/>
        <w:jc w:val="both"/>
        <w:rPr>
          <w:sz w:val="22"/>
          <w:szCs w:val="22"/>
        </w:rPr>
      </w:pPr>
      <w:r>
        <w:rPr>
          <w:sz w:val="22"/>
          <w:szCs w:val="22"/>
        </w:rPr>
        <w:t>[[OR]]</w:t>
      </w:r>
    </w:p>
    <w:p w14:paraId="59AD8106" w14:textId="19BF8898" w:rsidR="00DF66A9" w:rsidRPr="00DF66A9" w:rsidRDefault="00B33464" w:rsidP="00542EBC">
      <w:pPr>
        <w:tabs>
          <w:tab w:val="left" w:pos="360"/>
        </w:tabs>
        <w:autoSpaceDE w:val="0"/>
        <w:autoSpaceDN w:val="0"/>
        <w:adjustRightInd w:val="0"/>
        <w:spacing w:before="0" w:after="120"/>
        <w:jc w:val="both"/>
        <w:rPr>
          <w:sz w:val="22"/>
          <w:szCs w:val="22"/>
        </w:rPr>
      </w:pPr>
      <w:r>
        <w:rPr>
          <w:sz w:val="22"/>
          <w:szCs w:val="22"/>
        </w:rPr>
        <w:t>[</w:t>
      </w:r>
      <w:r w:rsidR="00DF66A9" w:rsidRPr="00DF66A9">
        <w:rPr>
          <w:sz w:val="22"/>
          <w:szCs w:val="22"/>
        </w:rPr>
        <w:t xml:space="preserve">is calculated as of immediately prior to the Liquidity Event, and (without double-counting, in each case calculated on an as-converted to Ordinary Shares basis): </w:t>
      </w:r>
    </w:p>
    <w:p w14:paraId="733D2EA4" w14:textId="280A3536" w:rsidR="00DF66A9" w:rsidRDefault="00DF66A9" w:rsidP="00542EBC">
      <w:pPr>
        <w:tabs>
          <w:tab w:val="left" w:pos="360"/>
        </w:tabs>
        <w:autoSpaceDE w:val="0"/>
        <w:autoSpaceDN w:val="0"/>
        <w:adjustRightInd w:val="0"/>
        <w:spacing w:before="0" w:after="120"/>
        <w:jc w:val="both"/>
        <w:rPr>
          <w:sz w:val="22"/>
          <w:szCs w:val="22"/>
        </w:rPr>
      </w:pPr>
      <w:r w:rsidRPr="001E3138">
        <w:rPr>
          <w:sz w:val="22"/>
          <w:szCs w:val="22"/>
        </w:rPr>
        <w:t>Includes all shares of Share Capital issued and outstanding;</w:t>
      </w:r>
    </w:p>
    <w:p w14:paraId="276DF8C4" w14:textId="1017D607" w:rsidR="00DF66A9" w:rsidRDefault="00DF66A9" w:rsidP="00542EBC">
      <w:pPr>
        <w:tabs>
          <w:tab w:val="left" w:pos="360"/>
        </w:tabs>
        <w:autoSpaceDE w:val="0"/>
        <w:autoSpaceDN w:val="0"/>
        <w:adjustRightInd w:val="0"/>
        <w:spacing w:before="0" w:after="120"/>
        <w:jc w:val="both"/>
        <w:rPr>
          <w:sz w:val="22"/>
          <w:szCs w:val="22"/>
        </w:rPr>
      </w:pPr>
      <w:r w:rsidRPr="001E3138">
        <w:rPr>
          <w:sz w:val="22"/>
          <w:szCs w:val="22"/>
        </w:rPr>
        <w:t>Includes all (i) issued and outstanding Options and (ii) to the extent receiving Proceeds, Promised Options;</w:t>
      </w:r>
    </w:p>
    <w:p w14:paraId="55847B9D" w14:textId="4D4006A5" w:rsidR="00DF66A9" w:rsidRDefault="00DF66A9" w:rsidP="00542EBC">
      <w:pPr>
        <w:tabs>
          <w:tab w:val="left" w:pos="360"/>
        </w:tabs>
        <w:autoSpaceDE w:val="0"/>
        <w:autoSpaceDN w:val="0"/>
        <w:adjustRightInd w:val="0"/>
        <w:spacing w:before="0" w:after="120"/>
        <w:jc w:val="both"/>
        <w:rPr>
          <w:sz w:val="22"/>
          <w:szCs w:val="22"/>
        </w:rPr>
      </w:pPr>
      <w:r w:rsidRPr="001E3138">
        <w:rPr>
          <w:sz w:val="22"/>
          <w:szCs w:val="22"/>
        </w:rPr>
        <w:t xml:space="preserve">Includes all Converting Securities, </w:t>
      </w:r>
      <w:r w:rsidRPr="00FA11DE">
        <w:rPr>
          <w:sz w:val="22"/>
          <w:szCs w:val="22"/>
        </w:rPr>
        <w:t xml:space="preserve">other than any </w:t>
      </w:r>
      <w:r w:rsidR="000332CB">
        <w:rPr>
          <w:sz w:val="22"/>
          <w:szCs w:val="22"/>
        </w:rPr>
        <w:t>SAFE</w:t>
      </w:r>
      <w:r w:rsidRPr="00FA11DE">
        <w:rPr>
          <w:sz w:val="22"/>
          <w:szCs w:val="22"/>
        </w:rPr>
        <w:t>s and other convertible securities (including without limitation shares of Preferred Shares) where the holders of such securities are receiving Cash-Out Amounts or similar liquidation preference payments in lieu of Conversion Amounts or “as-converted” payments</w:t>
      </w:r>
      <w:r w:rsidRPr="001E3138">
        <w:rPr>
          <w:sz w:val="22"/>
          <w:szCs w:val="22"/>
        </w:rPr>
        <w:t>; and</w:t>
      </w:r>
    </w:p>
    <w:p w14:paraId="4EC9408C" w14:textId="79D9D1FB" w:rsidR="004514BE" w:rsidRPr="001E3138" w:rsidRDefault="00DF66A9" w:rsidP="00542EBC">
      <w:pPr>
        <w:tabs>
          <w:tab w:val="left" w:pos="360"/>
        </w:tabs>
        <w:autoSpaceDE w:val="0"/>
        <w:autoSpaceDN w:val="0"/>
        <w:adjustRightInd w:val="0"/>
        <w:spacing w:before="0" w:after="120"/>
        <w:jc w:val="both"/>
        <w:rPr>
          <w:sz w:val="22"/>
          <w:szCs w:val="22"/>
        </w:rPr>
      </w:pPr>
      <w:r w:rsidRPr="001E3138">
        <w:rPr>
          <w:sz w:val="22"/>
          <w:szCs w:val="22"/>
        </w:rPr>
        <w:t>Excludes the Unissued Option Pool.</w:t>
      </w:r>
      <w:r w:rsidR="00B33464">
        <w:rPr>
          <w:sz w:val="22"/>
          <w:szCs w:val="22"/>
        </w:rPr>
        <w:t>]</w:t>
      </w:r>
      <w:r w:rsidR="00B33464">
        <w:rPr>
          <w:rStyle w:val="FootnoteReference"/>
          <w:sz w:val="22"/>
          <w:szCs w:val="22"/>
        </w:rPr>
        <w:footnoteReference w:id="13"/>
      </w:r>
    </w:p>
    <w:p w14:paraId="77BDC9D5" w14:textId="77777777" w:rsidR="000E0774" w:rsidRDefault="004514BE" w:rsidP="008C4B3F">
      <w:pPr>
        <w:tabs>
          <w:tab w:val="left" w:pos="360"/>
        </w:tabs>
        <w:autoSpaceDE w:val="0"/>
        <w:autoSpaceDN w:val="0"/>
        <w:adjustRightInd w:val="0"/>
        <w:spacing w:before="0" w:after="120"/>
        <w:jc w:val="both"/>
        <w:rPr>
          <w:sz w:val="22"/>
          <w:szCs w:val="22"/>
        </w:rPr>
      </w:pPr>
      <w:r>
        <w:rPr>
          <w:sz w:val="22"/>
          <w:szCs w:val="22"/>
        </w:rPr>
        <w:tab/>
      </w:r>
    </w:p>
    <w:p w14:paraId="19BE1959" w14:textId="75CA94DD" w:rsidR="00132B42" w:rsidRDefault="00F43A4F" w:rsidP="000E0774">
      <w:pPr>
        <w:autoSpaceDE w:val="0"/>
        <w:autoSpaceDN w:val="0"/>
        <w:adjustRightInd w:val="0"/>
        <w:spacing w:before="0" w:after="120"/>
        <w:ind w:firstLine="1418"/>
        <w:jc w:val="both"/>
        <w:rPr>
          <w:sz w:val="22"/>
          <w:szCs w:val="22"/>
        </w:rPr>
      </w:pPr>
      <w:r>
        <w:rPr>
          <w:sz w:val="22"/>
          <w:szCs w:val="22"/>
        </w:rPr>
        <w:t>“</w:t>
      </w:r>
      <w:r w:rsidR="00132B42" w:rsidRPr="00F43A4F">
        <w:rPr>
          <w:b/>
          <w:sz w:val="22"/>
          <w:szCs w:val="22"/>
        </w:rPr>
        <w:t>Liquidity Event</w:t>
      </w:r>
      <w:r>
        <w:rPr>
          <w:sz w:val="22"/>
          <w:szCs w:val="22"/>
        </w:rPr>
        <w:t>”</w:t>
      </w:r>
      <w:r w:rsidR="00132B42">
        <w:rPr>
          <w:sz w:val="22"/>
          <w:szCs w:val="22"/>
        </w:rPr>
        <w:t xml:space="preserve"> </w:t>
      </w:r>
      <w:r w:rsidR="00623E08">
        <w:rPr>
          <w:sz w:val="22"/>
          <w:szCs w:val="22"/>
        </w:rPr>
        <w:t>means</w:t>
      </w:r>
      <w:r>
        <w:rPr>
          <w:sz w:val="22"/>
          <w:szCs w:val="22"/>
        </w:rPr>
        <w:t xml:space="preserve"> a Change of Control or an Initial Public Offering. </w:t>
      </w:r>
    </w:p>
    <w:p w14:paraId="3446F734" w14:textId="6B47F13E" w:rsidR="001E3138" w:rsidRDefault="00B1343A" w:rsidP="008C4B3F">
      <w:pPr>
        <w:tabs>
          <w:tab w:val="left" w:pos="360"/>
        </w:tabs>
        <w:autoSpaceDE w:val="0"/>
        <w:autoSpaceDN w:val="0"/>
        <w:adjustRightInd w:val="0"/>
        <w:spacing w:before="0" w:after="12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xml:space="preserve">” </w:t>
      </w:r>
      <w:r w:rsidR="00D547C6" w:rsidRPr="007C0B6B">
        <w:rPr>
          <w:rFonts w:asciiTheme="majorBidi" w:hAnsiTheme="majorBidi"/>
          <w:sz w:val="22"/>
        </w:rPr>
        <w:t xml:space="preserve">means either: (1) the price per share equal to the </w:t>
      </w:r>
      <w:r w:rsidR="00D547C6" w:rsidRPr="007C0B6B">
        <w:rPr>
          <w:rFonts w:asciiTheme="majorBidi" w:hAnsiTheme="majorBidi" w:cstheme="majorBidi"/>
          <w:sz w:val="22"/>
          <w:szCs w:val="22"/>
        </w:rPr>
        <w:t>fair market value of the Ordinary Shares at the time of the Liquidity Event, as determined by reference to the purchase price payable in connection with such Liquidity Event multiplied</w:t>
      </w:r>
      <w:r w:rsidR="00D547C6" w:rsidRPr="007C0B6B">
        <w:rPr>
          <w:rFonts w:asciiTheme="majorBidi" w:hAnsiTheme="majorBidi"/>
          <w:sz w:val="22"/>
        </w:rPr>
        <w:t xml:space="preserve"> by </w:t>
      </w:r>
      <w:r w:rsidR="00D547C6" w:rsidRPr="007C0B6B">
        <w:rPr>
          <w:rFonts w:asciiTheme="majorBidi" w:hAnsiTheme="majorBidi"/>
        </w:rPr>
        <w:t xml:space="preserve">the </w:t>
      </w:r>
      <w:bookmarkStart w:id="2" w:name="OLE_LINK7"/>
      <w:bookmarkStart w:id="3" w:name="OLE_LINK8"/>
      <w:r w:rsidR="00D547C6" w:rsidRPr="007C0B6B">
        <w:rPr>
          <w:rFonts w:asciiTheme="majorBidi" w:hAnsiTheme="majorBidi" w:cstheme="majorBidi"/>
          <w:sz w:val="22"/>
          <w:szCs w:val="22"/>
        </w:rPr>
        <w:t>Discount Rate</w:t>
      </w:r>
      <w:bookmarkEnd w:id="2"/>
      <w:bookmarkEnd w:id="3"/>
      <w:r w:rsidR="006035B1">
        <w:rPr>
          <w:rFonts w:asciiTheme="majorBidi" w:hAnsiTheme="majorBidi" w:cstheme="majorBidi"/>
          <w:sz w:val="22"/>
          <w:szCs w:val="22"/>
        </w:rPr>
        <w:t>,</w:t>
      </w:r>
      <w:r w:rsidR="00D547C6" w:rsidRPr="007C0B6B">
        <w:rPr>
          <w:rFonts w:asciiTheme="majorBidi" w:eastAsia="Open Sans" w:hAnsiTheme="majorBidi" w:cstheme="majorBidi"/>
          <w:sz w:val="22"/>
          <w:szCs w:val="22"/>
        </w:rPr>
        <w:t xml:space="preserve"> or (2)</w:t>
      </w:r>
      <w:r w:rsidR="00D547C6" w:rsidRPr="007C0B6B">
        <w:rPr>
          <w:rFonts w:asciiTheme="majorBidi" w:hAnsiTheme="majorBidi"/>
          <w:sz w:val="22"/>
        </w:rPr>
        <w:t xml:space="preserve"> the </w:t>
      </w:r>
      <w:bookmarkStart w:id="4" w:name="_Hlk106788358"/>
      <w:r w:rsidR="00D547C6" w:rsidRPr="007C0B6B">
        <w:rPr>
          <w:rFonts w:asciiTheme="majorBidi" w:hAnsiTheme="majorBidi"/>
          <w:sz w:val="22"/>
        </w:rPr>
        <w:t xml:space="preserve">price per share equal to the </w:t>
      </w:r>
      <w:r w:rsidR="00D547C6" w:rsidRPr="007C0B6B">
        <w:rPr>
          <w:sz w:val="22"/>
          <w:szCs w:val="22"/>
        </w:rPr>
        <w:t xml:space="preserve">Valuation Cap divided by </w:t>
      </w:r>
      <w:r w:rsidR="00D547C6" w:rsidRPr="007C0B6B">
        <w:rPr>
          <w:rStyle w:val="DeltaViewDeletion"/>
          <w:strike w:val="0"/>
          <w:color w:val="auto"/>
          <w:sz w:val="22"/>
          <w:szCs w:val="22"/>
        </w:rPr>
        <w:t>the Liquidity Capitalization</w:t>
      </w:r>
      <w:bookmarkEnd w:id="4"/>
      <w:r w:rsidR="00D547C6" w:rsidRPr="007C0B6B">
        <w:rPr>
          <w:rFonts w:asciiTheme="majorBidi" w:hAnsiTheme="majorBidi"/>
          <w:sz w:val="22"/>
        </w:rPr>
        <w:t xml:space="preserve">, whichever calculation results in a </w:t>
      </w:r>
      <w:r w:rsidR="00D547C6" w:rsidRPr="007C0B6B">
        <w:rPr>
          <w:rFonts w:asciiTheme="majorBidi" w:eastAsia="Open Sans" w:hAnsiTheme="majorBidi" w:cstheme="majorBidi"/>
          <w:sz w:val="22"/>
          <w:szCs w:val="22"/>
        </w:rPr>
        <w:t>lower price per share</w:t>
      </w:r>
      <w:r w:rsidRPr="007C0B6B">
        <w:rPr>
          <w:sz w:val="22"/>
          <w:szCs w:val="22"/>
        </w:rPr>
        <w:t>.</w:t>
      </w:r>
    </w:p>
    <w:p w14:paraId="05414C97" w14:textId="52038A1D" w:rsidR="00AB42DD" w:rsidRPr="00AB42DD" w:rsidRDefault="00AB42DD" w:rsidP="00AB42DD">
      <w:pPr>
        <w:tabs>
          <w:tab w:val="left" w:pos="360"/>
        </w:tabs>
        <w:autoSpaceDE w:val="0"/>
        <w:autoSpaceDN w:val="0"/>
        <w:adjustRightInd w:val="0"/>
        <w:spacing w:before="0" w:after="120"/>
        <w:ind w:firstLine="1418"/>
        <w:jc w:val="both"/>
        <w:rPr>
          <w:sz w:val="22"/>
          <w:szCs w:val="22"/>
        </w:rPr>
      </w:pPr>
      <w:r>
        <w:rPr>
          <w:sz w:val="22"/>
          <w:szCs w:val="22"/>
        </w:rPr>
        <w:t>[“</w:t>
      </w:r>
      <w:r w:rsidRPr="00F94B31">
        <w:rPr>
          <w:b/>
          <w:bCs/>
          <w:sz w:val="22"/>
          <w:szCs w:val="22"/>
        </w:rPr>
        <w:t>Non-Qualified Financing</w:t>
      </w:r>
      <w:r>
        <w:rPr>
          <w:sz w:val="22"/>
          <w:szCs w:val="22"/>
        </w:rPr>
        <w:t>” an Equity Financing which is not a Qualified Financing.]</w:t>
      </w:r>
      <w:r>
        <w:rPr>
          <w:rStyle w:val="FootnoteReference"/>
          <w:sz w:val="22"/>
          <w:szCs w:val="22"/>
        </w:rPr>
        <w:footnoteReference w:id="14"/>
      </w:r>
      <w:r>
        <w:rPr>
          <w:sz w:val="22"/>
          <w:szCs w:val="22"/>
        </w:rPr>
        <w:t xml:space="preserve"> </w:t>
      </w:r>
    </w:p>
    <w:p w14:paraId="2CDF20AF" w14:textId="6B9D1BD3" w:rsidR="00C06593" w:rsidRPr="007C0B6B" w:rsidRDefault="001E3138" w:rsidP="0084285B">
      <w:pPr>
        <w:tabs>
          <w:tab w:val="left" w:pos="360"/>
        </w:tabs>
        <w:autoSpaceDE w:val="0"/>
        <w:autoSpaceDN w:val="0"/>
        <w:adjustRightInd w:val="0"/>
        <w:spacing w:before="0" w:after="120"/>
        <w:ind w:firstLine="1418"/>
        <w:jc w:val="both"/>
        <w:rPr>
          <w:sz w:val="22"/>
          <w:szCs w:val="22"/>
        </w:rPr>
      </w:pPr>
      <w:r w:rsidRPr="00A30460">
        <w:rPr>
          <w:rFonts w:asciiTheme="majorBidi" w:hAnsiTheme="majorBidi"/>
          <w:sz w:val="22"/>
        </w:rPr>
        <w:t>“</w:t>
      </w:r>
      <w:r w:rsidRPr="00A30460">
        <w:rPr>
          <w:rFonts w:asciiTheme="majorBidi" w:hAnsiTheme="majorBidi"/>
          <w:b/>
          <w:sz w:val="22"/>
        </w:rPr>
        <w:t>Options</w:t>
      </w:r>
      <w:r w:rsidRPr="00A30460">
        <w:rPr>
          <w:rFonts w:asciiTheme="majorBidi" w:hAnsiTheme="majorBidi"/>
          <w:sz w:val="22"/>
        </w:rPr>
        <w:t>” includes</w:t>
      </w:r>
      <w:r w:rsidRPr="00531FB7">
        <w:rPr>
          <w:rFonts w:asciiTheme="majorBidi" w:hAnsiTheme="majorBidi" w:cstheme="majorBidi"/>
          <w:sz w:val="22"/>
          <w:szCs w:val="22"/>
        </w:rPr>
        <w:t xml:space="preserve"> </w:t>
      </w:r>
      <w:r>
        <w:rPr>
          <w:rFonts w:asciiTheme="majorBidi" w:hAnsiTheme="majorBidi" w:cstheme="majorBidi"/>
          <w:sz w:val="22"/>
          <w:szCs w:val="22"/>
        </w:rPr>
        <w:t>granted</w:t>
      </w:r>
      <w:r w:rsidRPr="00A30460">
        <w:rPr>
          <w:rFonts w:asciiTheme="majorBidi" w:hAnsiTheme="majorBidi"/>
          <w:sz w:val="22"/>
        </w:rPr>
        <w:t xml:space="preserve"> options, restricted stock awards or purchases, RSUs, SARs, warrants or similar securities, vested or unvested.</w:t>
      </w:r>
      <w:r w:rsidR="00DA1BD1" w:rsidRPr="007C0B6B">
        <w:rPr>
          <w:sz w:val="22"/>
          <w:szCs w:val="22"/>
        </w:rPr>
        <w:tab/>
      </w:r>
    </w:p>
    <w:p w14:paraId="06F599A4" w14:textId="6C5D2A6E" w:rsidR="00E23215" w:rsidRPr="00C41CCF" w:rsidRDefault="00C06593" w:rsidP="00C41CCF">
      <w:pPr>
        <w:tabs>
          <w:tab w:val="left" w:pos="360"/>
        </w:tabs>
        <w:autoSpaceDE w:val="0"/>
        <w:autoSpaceDN w:val="0"/>
        <w:adjustRightInd w:val="0"/>
        <w:spacing w:before="0" w:after="120"/>
        <w:jc w:val="both"/>
        <w:rPr>
          <w:b/>
          <w:sz w:val="22"/>
          <w:szCs w:val="22"/>
        </w:rPr>
      </w:pPr>
      <w:r>
        <w:rPr>
          <w:sz w:val="22"/>
          <w:szCs w:val="22"/>
        </w:rPr>
        <w:tab/>
      </w:r>
      <w:r w:rsidR="00831497">
        <w:rPr>
          <w:sz w:val="22"/>
          <w:szCs w:val="22"/>
        </w:rPr>
        <w:t>[</w:t>
      </w:r>
      <w:r w:rsidR="001A7F23">
        <w:rPr>
          <w:sz w:val="22"/>
          <w:szCs w:val="22"/>
        </w:rPr>
        <w:t>“</w:t>
      </w:r>
      <w:r w:rsidR="001A7F23">
        <w:rPr>
          <w:b/>
          <w:sz w:val="22"/>
          <w:szCs w:val="22"/>
        </w:rPr>
        <w:t>Pro Rata Rights Agreement</w:t>
      </w:r>
      <w:r w:rsidR="001A7F23">
        <w:rPr>
          <w:sz w:val="22"/>
          <w:szCs w:val="22"/>
        </w:rPr>
        <w:t xml:space="preserve">” </w:t>
      </w:r>
      <w:r w:rsidR="0040726D">
        <w:rPr>
          <w:sz w:val="22"/>
          <w:szCs w:val="22"/>
        </w:rPr>
        <w:t xml:space="preserve">means a written agreement between the Company and the Investor (and holders of other </w:t>
      </w:r>
      <w:r w:rsidR="000332CB">
        <w:rPr>
          <w:sz w:val="22"/>
          <w:szCs w:val="22"/>
        </w:rPr>
        <w:t>SAFE</w:t>
      </w:r>
      <w:r w:rsidR="0040726D">
        <w:rPr>
          <w:sz w:val="22"/>
          <w:szCs w:val="22"/>
        </w:rPr>
        <w:t xml:space="preserve">s, as appropriate) giving the Investor </w:t>
      </w:r>
      <w:r w:rsidR="0040726D" w:rsidRPr="00C040DA">
        <w:rPr>
          <w:sz w:val="22"/>
          <w:szCs w:val="22"/>
        </w:rPr>
        <w:t xml:space="preserve">a right to purchase its </w:t>
      </w:r>
      <w:r w:rsidR="0040726D" w:rsidRPr="00C040DA">
        <w:rPr>
          <w:i/>
          <w:sz w:val="22"/>
          <w:szCs w:val="22"/>
        </w:rPr>
        <w:t>pro rata</w:t>
      </w:r>
      <w:r w:rsidR="0040726D" w:rsidRPr="00C040DA">
        <w:rPr>
          <w:sz w:val="22"/>
          <w:szCs w:val="22"/>
        </w:rPr>
        <w:t xml:space="preserve"> share of private placements of securities by the Company</w:t>
      </w:r>
      <w:r w:rsidR="0040726D">
        <w:rPr>
          <w:sz w:val="22"/>
          <w:szCs w:val="22"/>
        </w:rPr>
        <w:t xml:space="preserve"> </w:t>
      </w:r>
      <w:r w:rsidR="00EE5548">
        <w:rPr>
          <w:bCs/>
          <w:sz w:val="22"/>
          <w:szCs w:val="22"/>
        </w:rPr>
        <w:t xml:space="preserve">until the initial closing of </w:t>
      </w:r>
      <w:r w:rsidR="0040726D" w:rsidRPr="00AA49F2">
        <w:rPr>
          <w:bCs/>
          <w:sz w:val="22"/>
          <w:szCs w:val="22"/>
        </w:rPr>
        <w:t>the Equity Financing</w:t>
      </w:r>
      <w:r w:rsidR="0040726D" w:rsidRPr="00C040DA">
        <w:rPr>
          <w:sz w:val="22"/>
          <w:szCs w:val="22"/>
        </w:rPr>
        <w:t>, subject to customary exceptions</w:t>
      </w:r>
      <w:r w:rsidR="007107B6" w:rsidRPr="00E701F5">
        <w:rPr>
          <w:sz w:val="22"/>
          <w:szCs w:val="22"/>
        </w:rPr>
        <w:t>.</w:t>
      </w:r>
      <w:r w:rsidR="00831497">
        <w:rPr>
          <w:sz w:val="22"/>
          <w:szCs w:val="22"/>
        </w:rPr>
        <w:t>]</w:t>
      </w:r>
      <w:r w:rsidR="00D9298B">
        <w:rPr>
          <w:rStyle w:val="FootnoteReference"/>
          <w:sz w:val="22"/>
          <w:szCs w:val="22"/>
        </w:rPr>
        <w:footnoteReference w:id="15"/>
      </w:r>
      <w:r w:rsidR="00654695">
        <w:rPr>
          <w:sz w:val="22"/>
          <w:szCs w:val="22"/>
        </w:rPr>
        <w:tab/>
      </w:r>
    </w:p>
    <w:p w14:paraId="617A088D" w14:textId="5D0188BB" w:rsidR="0084285B" w:rsidRDefault="00A06D68" w:rsidP="00A06D68">
      <w:pPr>
        <w:tabs>
          <w:tab w:val="left" w:pos="360"/>
        </w:tabs>
        <w:autoSpaceDE w:val="0"/>
        <w:autoSpaceDN w:val="0"/>
        <w:adjustRightInd w:val="0"/>
        <w:spacing w:before="0" w:after="120"/>
        <w:ind w:firstLine="1418"/>
        <w:jc w:val="both"/>
        <w:rPr>
          <w:sz w:val="22"/>
          <w:szCs w:val="22"/>
        </w:rPr>
      </w:pPr>
      <w:r>
        <w:rPr>
          <w:sz w:val="22"/>
          <w:szCs w:val="22"/>
        </w:rPr>
        <w:t>“</w:t>
      </w:r>
      <w:r>
        <w:rPr>
          <w:b/>
          <w:sz w:val="22"/>
          <w:szCs w:val="22"/>
        </w:rPr>
        <w:t>Proceeds</w:t>
      </w:r>
      <w:r>
        <w:rPr>
          <w:sz w:val="22"/>
          <w:szCs w:val="22"/>
        </w:rPr>
        <w:t xml:space="preserve">” means cash and other assets (including without limitation share consideration) that </w:t>
      </w:r>
      <w:r w:rsidR="00D36F90">
        <w:rPr>
          <w:sz w:val="22"/>
          <w:szCs w:val="22"/>
        </w:rPr>
        <w:t>form part of the consideration</w:t>
      </w:r>
      <w:r>
        <w:rPr>
          <w:sz w:val="22"/>
          <w:szCs w:val="22"/>
        </w:rPr>
        <w:t xml:space="preserve"> </w:t>
      </w:r>
      <w:r w:rsidR="00D36F90">
        <w:rPr>
          <w:sz w:val="22"/>
          <w:szCs w:val="22"/>
        </w:rPr>
        <w:t xml:space="preserve">in </w:t>
      </w:r>
      <w:r>
        <w:rPr>
          <w:sz w:val="22"/>
          <w:szCs w:val="22"/>
        </w:rPr>
        <w:t xml:space="preserve">the Liquidity Event or the Dissolution Event, as applicable, and </w:t>
      </w:r>
      <w:r w:rsidR="00D36F90">
        <w:rPr>
          <w:sz w:val="22"/>
          <w:szCs w:val="22"/>
        </w:rPr>
        <w:t xml:space="preserve">are </w:t>
      </w:r>
      <w:r>
        <w:rPr>
          <w:sz w:val="22"/>
          <w:szCs w:val="22"/>
        </w:rPr>
        <w:t>legally available for distribution.</w:t>
      </w:r>
    </w:p>
    <w:p w14:paraId="1713E7AC" w14:textId="56469E06" w:rsidR="00A06D68" w:rsidRDefault="0084285B" w:rsidP="00A06D68">
      <w:pPr>
        <w:tabs>
          <w:tab w:val="left" w:pos="360"/>
        </w:tabs>
        <w:autoSpaceDE w:val="0"/>
        <w:autoSpaceDN w:val="0"/>
        <w:adjustRightInd w:val="0"/>
        <w:spacing w:before="0" w:after="120"/>
        <w:ind w:firstLine="1418"/>
        <w:jc w:val="both"/>
        <w:rPr>
          <w:sz w:val="22"/>
          <w:szCs w:val="22"/>
        </w:rPr>
      </w:pPr>
      <w:r w:rsidRPr="0084285B">
        <w:rPr>
          <w:sz w:val="22"/>
          <w:szCs w:val="22"/>
        </w:rPr>
        <w:lastRenderedPageBreak/>
        <w:t>“</w:t>
      </w:r>
      <w:r w:rsidRPr="0084285B">
        <w:rPr>
          <w:b/>
          <w:bCs/>
          <w:sz w:val="22"/>
          <w:szCs w:val="22"/>
        </w:rPr>
        <w:t>Promised Options</w:t>
      </w:r>
      <w:r w:rsidRPr="0084285B">
        <w:rPr>
          <w:sz w:val="22"/>
          <w:szCs w:val="22"/>
        </w:rPr>
        <w:t>” means promised but ungranted Options that are the greater of those (i) promised pursuant to agreements or understandings made prior to the execution of, or in connection with, the term sheet or letter of intent for the Equity Financing or Liquidity Event, as applicable (or the initial closing of the Equity Financing or consummation of the Liquidity Event, if there is no term sheet or letter of intent), (ii) in the case of an Equity Financing, treated as outstanding Options in the calculation of the Standard Preferred Share’s price per share, or (iii) in the case of a Liquidity Event, treated as outstanding Options in the calculation of the distribution of the Proceeds.</w:t>
      </w:r>
      <w:r w:rsidR="008B11F2">
        <w:rPr>
          <w:sz w:val="22"/>
          <w:szCs w:val="22"/>
        </w:rPr>
        <w:tab/>
        <w:t xml:space="preserve"> </w:t>
      </w:r>
    </w:p>
    <w:p w14:paraId="009499A0" w14:textId="5B91DCC0" w:rsidR="00791B77" w:rsidRDefault="00791B77" w:rsidP="00791B77">
      <w:pPr>
        <w:tabs>
          <w:tab w:val="left" w:pos="360"/>
        </w:tabs>
        <w:autoSpaceDE w:val="0"/>
        <w:autoSpaceDN w:val="0"/>
        <w:adjustRightInd w:val="0"/>
        <w:spacing w:before="0" w:after="120"/>
        <w:ind w:firstLine="1418"/>
        <w:jc w:val="both"/>
        <w:rPr>
          <w:sz w:val="22"/>
          <w:szCs w:val="22"/>
        </w:rPr>
      </w:pPr>
      <w:r>
        <w:rPr>
          <w:sz w:val="22"/>
          <w:szCs w:val="22"/>
        </w:rPr>
        <w:t>[“</w:t>
      </w:r>
      <w:r w:rsidRPr="00F94B31">
        <w:rPr>
          <w:b/>
          <w:bCs/>
          <w:sz w:val="22"/>
          <w:szCs w:val="22"/>
        </w:rPr>
        <w:t>Qualified Financing</w:t>
      </w:r>
      <w:r>
        <w:rPr>
          <w:sz w:val="22"/>
          <w:szCs w:val="22"/>
        </w:rPr>
        <w:t>” means an Equity Financing in the amount of at least US$[_________].]</w:t>
      </w:r>
      <w:r>
        <w:rPr>
          <w:rStyle w:val="FootnoteReference"/>
          <w:sz w:val="22"/>
          <w:szCs w:val="22"/>
        </w:rPr>
        <w:footnoteReference w:id="16"/>
      </w:r>
    </w:p>
    <w:p w14:paraId="71AB62B6" w14:textId="7C09416F" w:rsidR="006D30BF" w:rsidRDefault="006D30BF" w:rsidP="00A06D68">
      <w:pPr>
        <w:tabs>
          <w:tab w:val="left" w:pos="360"/>
        </w:tabs>
        <w:autoSpaceDE w:val="0"/>
        <w:autoSpaceDN w:val="0"/>
        <w:adjustRightInd w:val="0"/>
        <w:spacing w:before="0" w:after="120"/>
        <w:ind w:firstLine="1418"/>
        <w:jc w:val="both"/>
        <w:rPr>
          <w:sz w:val="22"/>
          <w:szCs w:val="22"/>
        </w:rPr>
      </w:pPr>
      <w:r>
        <w:rPr>
          <w:sz w:val="22"/>
          <w:szCs w:val="22"/>
        </w:rPr>
        <w:t>“</w:t>
      </w:r>
      <w:r w:rsidR="000332CB">
        <w:rPr>
          <w:b/>
          <w:sz w:val="22"/>
          <w:szCs w:val="22"/>
        </w:rPr>
        <w:t>SAFE</w:t>
      </w:r>
      <w:r>
        <w:rPr>
          <w:sz w:val="22"/>
          <w:szCs w:val="22"/>
        </w:rPr>
        <w:t xml:space="preserve">” </w:t>
      </w:r>
      <w:r w:rsidR="001E746A">
        <w:rPr>
          <w:sz w:val="22"/>
          <w:szCs w:val="22"/>
        </w:rPr>
        <w:t xml:space="preserve">means an instrument containing a future right to shares of </w:t>
      </w:r>
      <w:r w:rsidR="00815AAF">
        <w:rPr>
          <w:sz w:val="22"/>
          <w:szCs w:val="22"/>
        </w:rPr>
        <w:t xml:space="preserve">Share </w:t>
      </w:r>
      <w:r w:rsidR="001E746A">
        <w:rPr>
          <w:sz w:val="22"/>
          <w:szCs w:val="22"/>
        </w:rPr>
        <w:t>Capital, similar in form and content to this instrument, purchased by investors for the purpose of funding the Company’s business operations</w:t>
      </w:r>
      <w:r>
        <w:rPr>
          <w:sz w:val="22"/>
          <w:szCs w:val="22"/>
        </w:rPr>
        <w:t>.</w:t>
      </w:r>
      <w:r w:rsidR="0084285B">
        <w:rPr>
          <w:sz w:val="22"/>
          <w:szCs w:val="22"/>
        </w:rPr>
        <w:t xml:space="preserve"> </w:t>
      </w:r>
      <w:r w:rsidR="0084285B" w:rsidRPr="00A30460">
        <w:rPr>
          <w:rFonts w:asciiTheme="majorBidi" w:hAnsiTheme="majorBidi"/>
          <w:sz w:val="22"/>
        </w:rPr>
        <w:t xml:space="preserve">References to “this </w:t>
      </w:r>
      <w:r w:rsidR="000332CB">
        <w:rPr>
          <w:rFonts w:asciiTheme="majorBidi" w:hAnsiTheme="majorBidi"/>
          <w:sz w:val="22"/>
        </w:rPr>
        <w:t>SAFE</w:t>
      </w:r>
      <w:r w:rsidR="0084285B" w:rsidRPr="00A30460">
        <w:rPr>
          <w:rFonts w:asciiTheme="majorBidi" w:hAnsiTheme="majorBidi"/>
          <w:sz w:val="22"/>
        </w:rPr>
        <w:t xml:space="preserve">” </w:t>
      </w:r>
      <w:r w:rsidR="00D36F90">
        <w:rPr>
          <w:rFonts w:asciiTheme="majorBidi" w:hAnsiTheme="majorBidi"/>
          <w:sz w:val="22"/>
        </w:rPr>
        <w:t>are to</w:t>
      </w:r>
      <w:r w:rsidR="00D36F90" w:rsidRPr="00A30460">
        <w:rPr>
          <w:rFonts w:asciiTheme="majorBidi" w:hAnsiTheme="majorBidi"/>
          <w:sz w:val="22"/>
        </w:rPr>
        <w:t xml:space="preserve"> </w:t>
      </w:r>
      <w:r w:rsidR="0084285B" w:rsidRPr="00A30460">
        <w:rPr>
          <w:rFonts w:asciiTheme="majorBidi" w:hAnsiTheme="majorBidi"/>
          <w:sz w:val="22"/>
        </w:rPr>
        <w:t>this specific instrument.</w:t>
      </w:r>
    </w:p>
    <w:p w14:paraId="56F6C6EB" w14:textId="38643185" w:rsidR="00496041" w:rsidRDefault="00496041" w:rsidP="008C4B3F">
      <w:pPr>
        <w:tabs>
          <w:tab w:val="left" w:pos="360"/>
        </w:tabs>
        <w:autoSpaceDE w:val="0"/>
        <w:autoSpaceDN w:val="0"/>
        <w:adjustRightInd w:val="0"/>
        <w:spacing w:before="0" w:after="120"/>
        <w:jc w:val="both"/>
        <w:rPr>
          <w:sz w:val="22"/>
          <w:szCs w:val="22"/>
        </w:rPr>
      </w:pPr>
      <w:r>
        <w:rPr>
          <w:sz w:val="22"/>
          <w:szCs w:val="22"/>
        </w:rPr>
        <w:tab/>
        <w:t>“</w:t>
      </w:r>
      <w:r w:rsidR="000332CB">
        <w:rPr>
          <w:b/>
          <w:sz w:val="22"/>
          <w:szCs w:val="22"/>
        </w:rPr>
        <w:t>SAFE</w:t>
      </w:r>
      <w:r>
        <w:rPr>
          <w:sz w:val="22"/>
          <w:szCs w:val="22"/>
        </w:rPr>
        <w:t xml:space="preserve"> </w:t>
      </w:r>
      <w:r w:rsidRPr="00C343C2">
        <w:rPr>
          <w:b/>
          <w:sz w:val="22"/>
          <w:szCs w:val="22"/>
        </w:rPr>
        <w:t xml:space="preserve">Preferred </w:t>
      </w:r>
      <w:r w:rsidR="00815AAF">
        <w:rPr>
          <w:b/>
          <w:sz w:val="22"/>
          <w:szCs w:val="22"/>
        </w:rPr>
        <w:t>Shares</w:t>
      </w:r>
      <w:r>
        <w:rPr>
          <w:sz w:val="22"/>
          <w:szCs w:val="22"/>
        </w:rPr>
        <w:t xml:space="preserve">” </w:t>
      </w:r>
      <w:r w:rsidR="002A1851">
        <w:rPr>
          <w:sz w:val="22"/>
          <w:szCs w:val="22"/>
        </w:rPr>
        <w:t xml:space="preserve">means the shares of a series of Preferred </w:t>
      </w:r>
      <w:r w:rsidR="00815AAF">
        <w:rPr>
          <w:sz w:val="22"/>
          <w:szCs w:val="22"/>
        </w:rPr>
        <w:t>Shares</w:t>
      </w:r>
      <w:r w:rsidR="002A1851">
        <w:rPr>
          <w:sz w:val="22"/>
          <w:szCs w:val="22"/>
        </w:rPr>
        <w:t xml:space="preserve"> issued to the Investor in an Equity Financing, having the identical rights, privileges, preferences and restrictions as the shares of Standard Preferred </w:t>
      </w:r>
      <w:r w:rsidR="00815AAF">
        <w:rPr>
          <w:sz w:val="22"/>
          <w:szCs w:val="22"/>
        </w:rPr>
        <w:t>Shares</w:t>
      </w:r>
      <w:r w:rsidR="002A1851">
        <w:rPr>
          <w:sz w:val="22"/>
          <w:szCs w:val="22"/>
        </w:rPr>
        <w:t xml:space="preserve">, </w:t>
      </w:r>
      <w:r w:rsidR="002A1851" w:rsidRPr="00167E28">
        <w:rPr>
          <w:sz w:val="22"/>
          <w:szCs w:val="22"/>
        </w:rPr>
        <w:t xml:space="preserve">other than </w:t>
      </w:r>
      <w:r w:rsidR="005A54BB">
        <w:rPr>
          <w:sz w:val="22"/>
          <w:szCs w:val="22"/>
        </w:rPr>
        <w:t xml:space="preserve">(i) </w:t>
      </w:r>
      <w:r w:rsidR="000254E2">
        <w:rPr>
          <w:sz w:val="22"/>
          <w:szCs w:val="22"/>
        </w:rPr>
        <w:t xml:space="preserve">with respect to any price-based preferences (such as the </w:t>
      </w:r>
      <w:r w:rsidR="000254E2" w:rsidRPr="00A30460">
        <w:rPr>
          <w:sz w:val="22"/>
        </w:rPr>
        <w:t xml:space="preserve">per share liquidation </w:t>
      </w:r>
      <w:r w:rsidR="000254E2">
        <w:rPr>
          <w:sz w:val="22"/>
          <w:szCs w:val="22"/>
        </w:rPr>
        <w:t>amount,</w:t>
      </w:r>
      <w:r w:rsidR="000254E2" w:rsidRPr="00A30460">
        <w:rPr>
          <w:sz w:val="22"/>
        </w:rPr>
        <w:t xml:space="preserve"> initial conversion price </w:t>
      </w:r>
      <w:r w:rsidR="000254E2">
        <w:rPr>
          <w:sz w:val="22"/>
          <w:szCs w:val="22"/>
        </w:rPr>
        <w:t xml:space="preserve">and per share </w:t>
      </w:r>
      <w:r w:rsidR="000254E2" w:rsidRPr="00A30460">
        <w:rPr>
          <w:sz w:val="22"/>
        </w:rPr>
        <w:t xml:space="preserve">dividend </w:t>
      </w:r>
      <w:r w:rsidR="000254E2">
        <w:rPr>
          <w:sz w:val="22"/>
          <w:szCs w:val="22"/>
        </w:rPr>
        <w:t>amount)</w:t>
      </w:r>
      <w:r w:rsidR="000254E2" w:rsidRPr="00A30460">
        <w:rPr>
          <w:sz w:val="22"/>
        </w:rPr>
        <w:t xml:space="preserve"> </w:t>
      </w:r>
      <w:r w:rsidR="000254E2">
        <w:rPr>
          <w:sz w:val="22"/>
        </w:rPr>
        <w:t xml:space="preserve">which </w:t>
      </w:r>
      <w:r w:rsidR="000254E2" w:rsidRPr="00A30460">
        <w:rPr>
          <w:sz w:val="22"/>
        </w:rPr>
        <w:t xml:space="preserve">will be based on the </w:t>
      </w:r>
      <w:r w:rsidR="000254E2" w:rsidRPr="00531FB7">
        <w:rPr>
          <w:rFonts w:asciiTheme="majorBidi" w:hAnsiTheme="majorBidi" w:cstheme="majorBidi"/>
          <w:sz w:val="22"/>
          <w:szCs w:val="22"/>
        </w:rPr>
        <w:t xml:space="preserve">Conversion </w:t>
      </w:r>
      <w:r w:rsidR="000254E2" w:rsidRPr="00531FB7">
        <w:rPr>
          <w:rFonts w:asciiTheme="majorBidi" w:eastAsia="Open Sans" w:hAnsiTheme="majorBidi" w:cstheme="majorBidi"/>
          <w:sz w:val="22"/>
          <w:szCs w:val="22"/>
        </w:rPr>
        <w:t>Price; and (ii) any individual rights which may be granted to specific investors (such as the right of an investor to appoint a director to the Board, etc.)</w:t>
      </w:r>
      <w:r w:rsidR="00897C2A">
        <w:rPr>
          <w:sz w:val="22"/>
          <w:szCs w:val="22"/>
        </w:rPr>
        <w:t>.</w:t>
      </w:r>
    </w:p>
    <w:p w14:paraId="543A074D" w14:textId="59E1896C" w:rsidR="00496041" w:rsidRDefault="00496041" w:rsidP="008C4B3F">
      <w:pPr>
        <w:tabs>
          <w:tab w:val="left" w:pos="360"/>
        </w:tabs>
        <w:autoSpaceDE w:val="0"/>
        <w:autoSpaceDN w:val="0"/>
        <w:adjustRightInd w:val="0"/>
        <w:spacing w:before="0" w:after="120"/>
        <w:jc w:val="both"/>
        <w:rPr>
          <w:sz w:val="22"/>
          <w:szCs w:val="22"/>
        </w:rPr>
      </w:pPr>
      <w:r>
        <w:rPr>
          <w:sz w:val="22"/>
          <w:szCs w:val="22"/>
        </w:rPr>
        <w:tab/>
        <w:t>“</w:t>
      </w:r>
      <w:r w:rsidR="000332CB">
        <w:rPr>
          <w:b/>
          <w:sz w:val="22"/>
          <w:szCs w:val="22"/>
        </w:rPr>
        <w:t>SAFE</w:t>
      </w:r>
      <w:r w:rsidRPr="00996726">
        <w:rPr>
          <w:b/>
          <w:sz w:val="22"/>
          <w:szCs w:val="22"/>
        </w:rPr>
        <w:t xml:space="preserve"> Price</w:t>
      </w:r>
      <w:r>
        <w:rPr>
          <w:sz w:val="22"/>
          <w:szCs w:val="22"/>
        </w:rPr>
        <w:t xml:space="preserve">” </w:t>
      </w:r>
      <w:r w:rsidR="00C92120">
        <w:rPr>
          <w:sz w:val="22"/>
          <w:szCs w:val="22"/>
        </w:rPr>
        <w:t xml:space="preserve">means the price per share equal to </w:t>
      </w:r>
      <w:bookmarkStart w:id="6" w:name="_DV_C50"/>
      <w:r w:rsidR="00C92120">
        <w:rPr>
          <w:rStyle w:val="DeltaViewDeletion"/>
          <w:strike w:val="0"/>
          <w:color w:val="auto"/>
          <w:sz w:val="22"/>
          <w:szCs w:val="22"/>
        </w:rPr>
        <w:t>the Valuation Cap</w:t>
      </w:r>
      <w:r w:rsidR="00C92120">
        <w:rPr>
          <w:sz w:val="22"/>
          <w:szCs w:val="22"/>
        </w:rPr>
        <w:t xml:space="preserve"> divided </w:t>
      </w:r>
      <w:r w:rsidR="00C92120">
        <w:rPr>
          <w:rStyle w:val="DeltaViewDeletion"/>
          <w:strike w:val="0"/>
          <w:color w:val="auto"/>
          <w:sz w:val="22"/>
          <w:szCs w:val="22"/>
        </w:rPr>
        <w:t>by the</w:t>
      </w:r>
      <w:r w:rsidR="00C92120" w:rsidRPr="00A46199">
        <w:rPr>
          <w:rStyle w:val="DeltaViewDeletion"/>
          <w:strike w:val="0"/>
          <w:color w:val="auto"/>
          <w:sz w:val="22"/>
          <w:szCs w:val="22"/>
        </w:rPr>
        <w:t xml:space="preserve"> Company Capitalization</w:t>
      </w:r>
      <w:bookmarkEnd w:id="6"/>
      <w:r w:rsidRPr="00A46199">
        <w:rPr>
          <w:sz w:val="22"/>
          <w:szCs w:val="22"/>
        </w:rPr>
        <w:t>.</w:t>
      </w:r>
    </w:p>
    <w:p w14:paraId="5136FE52" w14:textId="77777777" w:rsidR="0079399C" w:rsidRDefault="000832E9" w:rsidP="008C4B3F">
      <w:pPr>
        <w:tabs>
          <w:tab w:val="left" w:pos="360"/>
        </w:tabs>
        <w:autoSpaceDE w:val="0"/>
        <w:autoSpaceDN w:val="0"/>
        <w:adjustRightInd w:val="0"/>
        <w:spacing w:before="0" w:after="120"/>
        <w:jc w:val="both"/>
        <w:rPr>
          <w:rStyle w:val="DeltaViewDeletion"/>
          <w:strike w:val="0"/>
          <w:color w:val="auto"/>
          <w:sz w:val="22"/>
          <w:szCs w:val="22"/>
        </w:rPr>
      </w:pPr>
      <w:r>
        <w:rPr>
          <w:sz w:val="22"/>
          <w:szCs w:val="22"/>
        </w:rPr>
        <w:tab/>
      </w:r>
      <w:r w:rsidRPr="00884334">
        <w:rPr>
          <w:sz w:val="22"/>
          <w:szCs w:val="22"/>
        </w:rPr>
        <w:t>“</w:t>
      </w:r>
      <w:r w:rsidRPr="00BC7CEB">
        <w:rPr>
          <w:b/>
          <w:bCs/>
          <w:sz w:val="22"/>
          <w:szCs w:val="22"/>
        </w:rPr>
        <w:t>S</w:t>
      </w:r>
      <w:r>
        <w:rPr>
          <w:b/>
          <w:sz w:val="22"/>
          <w:szCs w:val="22"/>
        </w:rPr>
        <w:t>tandard</w:t>
      </w:r>
      <w:r w:rsidRPr="00884334">
        <w:rPr>
          <w:b/>
          <w:sz w:val="22"/>
          <w:szCs w:val="22"/>
        </w:rPr>
        <w:t xml:space="preserve"> Preferred </w:t>
      </w:r>
      <w:r w:rsidR="00815AAF">
        <w:rPr>
          <w:b/>
          <w:sz w:val="22"/>
          <w:szCs w:val="22"/>
        </w:rPr>
        <w:t>Shares</w:t>
      </w:r>
      <w:r w:rsidRPr="00884334">
        <w:rPr>
          <w:sz w:val="22"/>
          <w:szCs w:val="22"/>
        </w:rPr>
        <w:t xml:space="preserve">” </w:t>
      </w:r>
      <w:r w:rsidR="00EC771F" w:rsidRPr="00884334">
        <w:rPr>
          <w:sz w:val="22"/>
          <w:szCs w:val="22"/>
        </w:rPr>
        <w:t xml:space="preserve">means the shares of a series of </w:t>
      </w:r>
      <w:r w:rsidR="00EC771F">
        <w:rPr>
          <w:sz w:val="22"/>
          <w:szCs w:val="22"/>
        </w:rPr>
        <w:t xml:space="preserve">Preferred </w:t>
      </w:r>
      <w:r w:rsidR="00815AAF">
        <w:rPr>
          <w:sz w:val="22"/>
          <w:szCs w:val="22"/>
        </w:rPr>
        <w:t>Shares</w:t>
      </w:r>
      <w:r w:rsidR="00EC771F" w:rsidRPr="00884334">
        <w:rPr>
          <w:sz w:val="22"/>
          <w:szCs w:val="22"/>
        </w:rPr>
        <w:t xml:space="preserve"> issued to the investors investing new money in the Company in connection with the initial closing of the Equity Financing</w:t>
      </w:r>
      <w:r>
        <w:rPr>
          <w:sz w:val="22"/>
          <w:szCs w:val="22"/>
        </w:rPr>
        <w:t>.</w:t>
      </w:r>
    </w:p>
    <w:p w14:paraId="45C77877" w14:textId="753D740F" w:rsidR="00815AAF" w:rsidRDefault="00815AAF" w:rsidP="008C4B3F">
      <w:pPr>
        <w:tabs>
          <w:tab w:val="left" w:pos="360"/>
        </w:tabs>
        <w:autoSpaceDE w:val="0"/>
        <w:autoSpaceDN w:val="0"/>
        <w:adjustRightInd w:val="0"/>
        <w:spacing w:before="0" w:after="120"/>
        <w:jc w:val="both"/>
        <w:rPr>
          <w:sz w:val="22"/>
          <w:szCs w:val="22"/>
        </w:rPr>
      </w:pPr>
      <w:r w:rsidRPr="00815AAF">
        <w:rPr>
          <w:sz w:val="22"/>
          <w:szCs w:val="22"/>
        </w:rPr>
        <w:tab/>
      </w:r>
      <w:r w:rsidR="009657F7">
        <w:rPr>
          <w:sz w:val="22"/>
          <w:szCs w:val="22"/>
        </w:rPr>
        <w:t>[</w:t>
      </w:r>
      <w:r w:rsidR="003776F3" w:rsidRPr="00815AAF">
        <w:rPr>
          <w:sz w:val="22"/>
          <w:szCs w:val="22"/>
        </w:rPr>
        <w:t>“</w:t>
      </w:r>
      <w:r w:rsidR="003776F3" w:rsidRPr="00815AAF">
        <w:rPr>
          <w:b/>
          <w:sz w:val="22"/>
          <w:szCs w:val="22"/>
        </w:rPr>
        <w:t>Subsequent</w:t>
      </w:r>
      <w:r w:rsidR="003776F3" w:rsidRPr="00815AAF">
        <w:rPr>
          <w:sz w:val="22"/>
          <w:szCs w:val="22"/>
        </w:rPr>
        <w:t xml:space="preserve"> </w:t>
      </w:r>
      <w:r w:rsidR="003776F3" w:rsidRPr="00815AAF">
        <w:rPr>
          <w:b/>
          <w:sz w:val="22"/>
          <w:szCs w:val="22"/>
        </w:rPr>
        <w:t>Convertible Securities</w:t>
      </w:r>
      <w:r w:rsidR="003776F3" w:rsidRPr="00815AAF">
        <w:rPr>
          <w:sz w:val="22"/>
          <w:szCs w:val="22"/>
        </w:rPr>
        <w:t xml:space="preserve">” </w:t>
      </w:r>
      <w:r w:rsidR="00E74604" w:rsidRPr="00E967AE">
        <w:rPr>
          <w:sz w:val="22"/>
          <w:szCs w:val="22"/>
        </w:rPr>
        <w:t xml:space="preserve">means </w:t>
      </w:r>
      <w:r w:rsidR="00364156">
        <w:rPr>
          <w:sz w:val="22"/>
          <w:szCs w:val="22"/>
        </w:rPr>
        <w:t>c</w:t>
      </w:r>
      <w:r w:rsidR="00E74604" w:rsidRPr="00E967AE">
        <w:rPr>
          <w:sz w:val="22"/>
          <w:szCs w:val="22"/>
        </w:rPr>
        <w:t xml:space="preserve">onvertible </w:t>
      </w:r>
      <w:r w:rsidR="00364156">
        <w:rPr>
          <w:sz w:val="22"/>
          <w:szCs w:val="22"/>
        </w:rPr>
        <w:t>s</w:t>
      </w:r>
      <w:r w:rsidR="00E74604" w:rsidRPr="00E967AE">
        <w:rPr>
          <w:sz w:val="22"/>
          <w:szCs w:val="22"/>
        </w:rPr>
        <w:t xml:space="preserve">ecurities that the Company may issue after the issuance of this instrument with the principal purpose of raising capital, including but not limited to, other </w:t>
      </w:r>
      <w:r w:rsidR="000332CB">
        <w:rPr>
          <w:sz w:val="22"/>
          <w:szCs w:val="22"/>
        </w:rPr>
        <w:t>SAFE</w:t>
      </w:r>
      <w:r w:rsidR="00E74604" w:rsidRPr="00E967AE">
        <w:rPr>
          <w:sz w:val="22"/>
          <w:szCs w:val="22"/>
        </w:rPr>
        <w:t>s, convertible debt instruments and other convertible securities.</w:t>
      </w:r>
      <w:r w:rsidR="00E74604">
        <w:rPr>
          <w:sz w:val="22"/>
          <w:szCs w:val="22"/>
        </w:rPr>
        <w:t xml:space="preserve"> Subsequent Convertible</w:t>
      </w:r>
      <w:r w:rsidR="00E74604" w:rsidRPr="00E967AE">
        <w:rPr>
          <w:sz w:val="22"/>
          <w:szCs w:val="22"/>
        </w:rPr>
        <w:t xml:space="preserve"> Securities excludes</w:t>
      </w:r>
      <w:r w:rsidR="00E74604">
        <w:rPr>
          <w:sz w:val="22"/>
          <w:szCs w:val="22"/>
        </w:rPr>
        <w:t xml:space="preserve"> the following types of securities:</w:t>
      </w:r>
      <w:r w:rsidR="00E74604" w:rsidRPr="00E967AE">
        <w:rPr>
          <w:sz w:val="22"/>
          <w:szCs w:val="22"/>
        </w:rPr>
        <w:t xml:space="preserve"> </w:t>
      </w:r>
      <w:r w:rsidR="00E74604">
        <w:rPr>
          <w:sz w:val="22"/>
          <w:szCs w:val="22"/>
        </w:rPr>
        <w:t>(</w:t>
      </w:r>
      <w:r w:rsidR="00E74604" w:rsidRPr="00E74604">
        <w:rPr>
          <w:sz w:val="22"/>
          <w:szCs w:val="22"/>
        </w:rPr>
        <w:t>A) options issued pursuant to any equity incentive or similar plan of the Company; (B) convertible securities issued or issuable to banks, financial institutions or other persons engaged in the business of making loans pursuant</w:t>
      </w:r>
      <w:r w:rsidR="00E74604" w:rsidRPr="00E967AE">
        <w:rPr>
          <w:sz w:val="22"/>
          <w:szCs w:val="22"/>
        </w:rPr>
        <w:t xml:space="preserve"> to a debt financing</w:t>
      </w:r>
      <w:r w:rsidR="00E74604">
        <w:rPr>
          <w:sz w:val="22"/>
          <w:szCs w:val="22"/>
        </w:rPr>
        <w:t xml:space="preserve">; and (C) </w:t>
      </w:r>
      <w:r w:rsidR="00E74604" w:rsidRPr="00DA5AA1">
        <w:rPr>
          <w:sz w:val="22"/>
          <w:szCs w:val="22"/>
        </w:rPr>
        <w:t>convertible securities issued or issuable in connection with sponsored research, collaboration, technology license, development, OEM, marketing or other similar agreements or strategic partnerships</w:t>
      </w:r>
      <w:r w:rsidR="003776F3" w:rsidRPr="00815AAF">
        <w:rPr>
          <w:sz w:val="22"/>
          <w:szCs w:val="22"/>
        </w:rPr>
        <w:t>.</w:t>
      </w:r>
      <w:r w:rsidR="009657F7">
        <w:rPr>
          <w:sz w:val="22"/>
          <w:szCs w:val="22"/>
        </w:rPr>
        <w:t>]</w:t>
      </w:r>
      <w:r w:rsidR="009657F7">
        <w:rPr>
          <w:rStyle w:val="FootnoteReference"/>
          <w:sz w:val="22"/>
          <w:szCs w:val="22"/>
        </w:rPr>
        <w:footnoteReference w:id="17"/>
      </w:r>
    </w:p>
    <w:p w14:paraId="1532F9CE" w14:textId="0E443C24" w:rsidR="00E74604" w:rsidRPr="00815AAF" w:rsidRDefault="00E74604" w:rsidP="00E74604">
      <w:pPr>
        <w:tabs>
          <w:tab w:val="left" w:pos="360"/>
        </w:tabs>
        <w:autoSpaceDE w:val="0"/>
        <w:autoSpaceDN w:val="0"/>
        <w:adjustRightInd w:val="0"/>
        <w:spacing w:before="0" w:after="120"/>
        <w:ind w:firstLine="1418"/>
        <w:jc w:val="both"/>
        <w:rPr>
          <w:sz w:val="22"/>
          <w:szCs w:val="22"/>
        </w:rPr>
      </w:pPr>
      <w:r w:rsidRPr="00E74604">
        <w:rPr>
          <w:sz w:val="22"/>
          <w:szCs w:val="22"/>
        </w:rPr>
        <w:t>“</w:t>
      </w:r>
      <w:r w:rsidRPr="00E74604">
        <w:rPr>
          <w:b/>
          <w:bCs/>
          <w:sz w:val="22"/>
          <w:szCs w:val="22"/>
        </w:rPr>
        <w:t>Unissued Option Pool</w:t>
      </w:r>
      <w:r w:rsidRPr="00E74604">
        <w:rPr>
          <w:sz w:val="22"/>
          <w:szCs w:val="22"/>
        </w:rPr>
        <w:t>” means all Share Capital reserved, available for future grant and not subject to any outstanding Options or Promised Options (but in the case of a Liquidity Event, only to the extent Proceeds are payable on such Promised Options) under any equity incentive or similar Company plan.</w:t>
      </w:r>
    </w:p>
    <w:p w14:paraId="10653D8F" w14:textId="6E291D8D" w:rsidR="003776F3" w:rsidRPr="003776F3" w:rsidRDefault="009657F7" w:rsidP="00DB6B67">
      <w:pPr>
        <w:pStyle w:val="ListParagraph"/>
        <w:numPr>
          <w:ilvl w:val="0"/>
          <w:numId w:val="3"/>
        </w:numPr>
        <w:autoSpaceDE w:val="0"/>
        <w:autoSpaceDN w:val="0"/>
        <w:adjustRightInd w:val="0"/>
        <w:spacing w:before="0" w:after="120"/>
        <w:ind w:left="0" w:firstLine="709"/>
        <w:contextualSpacing w:val="0"/>
        <w:jc w:val="both"/>
        <w:rPr>
          <w:sz w:val="22"/>
          <w:szCs w:val="22"/>
        </w:rPr>
      </w:pPr>
      <w:r>
        <w:rPr>
          <w:sz w:val="22"/>
          <w:szCs w:val="22"/>
        </w:rPr>
        <w:t>[</w:t>
      </w:r>
      <w:r w:rsidR="003776F3" w:rsidRPr="00815AAF">
        <w:rPr>
          <w:sz w:val="22"/>
          <w:szCs w:val="22"/>
        </w:rPr>
        <w:t>“</w:t>
      </w:r>
      <w:r w:rsidR="003776F3" w:rsidRPr="00815AAF">
        <w:rPr>
          <w:b/>
          <w:i/>
          <w:sz w:val="22"/>
          <w:szCs w:val="22"/>
        </w:rPr>
        <w:t>MFN</w:t>
      </w:r>
      <w:r w:rsidR="003776F3" w:rsidRPr="00815AAF">
        <w:rPr>
          <w:sz w:val="22"/>
          <w:szCs w:val="22"/>
        </w:rPr>
        <w:t xml:space="preserve">” </w:t>
      </w:r>
      <w:r w:rsidR="003776F3" w:rsidRPr="00815AAF">
        <w:rPr>
          <w:b/>
          <w:i/>
          <w:sz w:val="22"/>
          <w:szCs w:val="22"/>
        </w:rPr>
        <w:t>Amendment Provision</w:t>
      </w:r>
      <w:r w:rsidR="003776F3" w:rsidRPr="00815AAF">
        <w:rPr>
          <w:sz w:val="22"/>
          <w:szCs w:val="22"/>
        </w:rPr>
        <w:t xml:space="preserve">. If the Company issues any Subsequent Convertible Securities prior to termination of this instrument, the Company will promptly provide the Investor with written notice thereof, together with a copy of all documentation relating to such Subsequent Convertible Securities and, upon written request of the Investor, any additional information related to such Subsequent Convertible Securities as may be reasonably requested by the Investor. In the event the Investor determines that the terms of the Subsequent Convertible Securities are preferable to the terms of this instrument, the Investor will notify the Company in writing. Promptly after receipt of such written notice from the Investor, the Company agrees to </w:t>
      </w:r>
      <w:r w:rsidR="003776F3" w:rsidRPr="00815AAF">
        <w:rPr>
          <w:sz w:val="22"/>
          <w:szCs w:val="22"/>
        </w:rPr>
        <w:lastRenderedPageBreak/>
        <w:t>amend and restate this instrument to be identical to the instrument(s) evidencing the Subsequent Convertible Securities.</w:t>
      </w:r>
      <w:r>
        <w:rPr>
          <w:sz w:val="22"/>
          <w:szCs w:val="22"/>
        </w:rPr>
        <w:t>]</w:t>
      </w:r>
      <w:r>
        <w:rPr>
          <w:rStyle w:val="FootnoteReference"/>
          <w:sz w:val="22"/>
          <w:szCs w:val="22"/>
        </w:rPr>
        <w:footnoteReference w:id="18"/>
      </w:r>
      <w:r w:rsidR="003776F3" w:rsidRPr="00815AAF">
        <w:rPr>
          <w:sz w:val="22"/>
          <w:szCs w:val="22"/>
        </w:rPr>
        <w:t xml:space="preserve"> </w:t>
      </w:r>
    </w:p>
    <w:p w14:paraId="396DA5DD" w14:textId="448E144B" w:rsidR="00714752" w:rsidRPr="00074597" w:rsidRDefault="00AC5EBA" w:rsidP="00DB6B67">
      <w:pPr>
        <w:pStyle w:val="ListParagraph"/>
        <w:numPr>
          <w:ilvl w:val="0"/>
          <w:numId w:val="3"/>
        </w:numPr>
        <w:autoSpaceDE w:val="0"/>
        <w:autoSpaceDN w:val="0"/>
        <w:adjustRightInd w:val="0"/>
        <w:spacing w:before="0" w:after="120"/>
        <w:ind w:left="0" w:firstLine="709"/>
        <w:contextualSpacing w:val="0"/>
        <w:jc w:val="both"/>
        <w:rPr>
          <w:b/>
          <w:i/>
          <w:sz w:val="22"/>
          <w:szCs w:val="22"/>
        </w:rPr>
      </w:pPr>
      <w:r w:rsidRPr="00AC5EBA">
        <w:rPr>
          <w:bCs/>
          <w:iCs/>
          <w:sz w:val="22"/>
          <w:szCs w:val="22"/>
        </w:rPr>
        <w:t>[</w:t>
      </w:r>
      <w:r w:rsidR="00714752">
        <w:rPr>
          <w:b/>
          <w:i/>
          <w:sz w:val="22"/>
          <w:szCs w:val="22"/>
        </w:rPr>
        <w:t>Pro-Rata Letter</w:t>
      </w:r>
      <w:r w:rsidR="00074597">
        <w:rPr>
          <w:b/>
          <w:i/>
          <w:sz w:val="22"/>
          <w:szCs w:val="22"/>
        </w:rPr>
        <w:t>.</w:t>
      </w:r>
      <w:r w:rsidR="00714752">
        <w:rPr>
          <w:b/>
          <w:i/>
          <w:sz w:val="22"/>
          <w:szCs w:val="22"/>
        </w:rPr>
        <w:t xml:space="preserve"> </w:t>
      </w:r>
      <w:r w:rsidR="00714752" w:rsidRPr="00074597">
        <w:rPr>
          <w:sz w:val="22"/>
          <w:szCs w:val="22"/>
        </w:rPr>
        <w:t>The Investor and the Company will execute a Pro Rata Rights Agreement, unless the Investor is already included in such rights in the transaction documents related to the Equity Financing.]</w:t>
      </w:r>
      <w:r w:rsidR="00714752">
        <w:rPr>
          <w:rStyle w:val="FootnoteReference"/>
          <w:sz w:val="22"/>
          <w:szCs w:val="22"/>
        </w:rPr>
        <w:footnoteReference w:id="19"/>
      </w:r>
      <w:r w:rsidR="00714752" w:rsidRPr="00074597">
        <w:rPr>
          <w:sz w:val="22"/>
          <w:szCs w:val="22"/>
        </w:rPr>
        <w:t xml:space="preserve"> </w:t>
      </w:r>
    </w:p>
    <w:p w14:paraId="16F73FA3" w14:textId="1185146F" w:rsidR="00E23215" w:rsidRDefault="00D00425" w:rsidP="00DB6B67">
      <w:pPr>
        <w:pStyle w:val="ListParagraph"/>
        <w:numPr>
          <w:ilvl w:val="0"/>
          <w:numId w:val="3"/>
        </w:numPr>
        <w:autoSpaceDE w:val="0"/>
        <w:autoSpaceDN w:val="0"/>
        <w:adjustRightInd w:val="0"/>
        <w:spacing w:before="0" w:after="120"/>
        <w:ind w:left="0" w:firstLine="709"/>
        <w:jc w:val="both"/>
        <w:rPr>
          <w:b/>
          <w:i/>
          <w:sz w:val="22"/>
          <w:szCs w:val="22"/>
        </w:rPr>
      </w:pPr>
      <w:r>
        <w:rPr>
          <w:b/>
          <w:i/>
          <w:sz w:val="22"/>
          <w:szCs w:val="22"/>
        </w:rPr>
        <w:t>Company Representations</w:t>
      </w:r>
    </w:p>
    <w:p w14:paraId="26511BE5" w14:textId="35FCC8FC" w:rsidR="00D00425" w:rsidRDefault="00D00425" w:rsidP="00DB6B67">
      <w:pPr>
        <w:pStyle w:val="Def2Heading3"/>
        <w:numPr>
          <w:ilvl w:val="0"/>
          <w:numId w:val="7"/>
        </w:numPr>
        <w:spacing w:before="0" w:after="120"/>
        <w:ind w:left="0" w:firstLine="1418"/>
        <w:jc w:val="both"/>
        <w:rPr>
          <w:sz w:val="22"/>
          <w:szCs w:val="22"/>
        </w:rPr>
      </w:pPr>
      <w:r>
        <w:rPr>
          <w:sz w:val="22"/>
          <w:szCs w:val="22"/>
        </w:rPr>
        <w:t>The Company is a corporation duly organized, validly existing and in good standing under the laws of the state of its incorporation, and has the power and authority to own, lease and operate its properties and carry on its business as now conducted.</w:t>
      </w:r>
    </w:p>
    <w:p w14:paraId="10A7E534" w14:textId="5B6907E1" w:rsidR="003D010D" w:rsidRDefault="003D010D" w:rsidP="00DB6B67">
      <w:pPr>
        <w:pStyle w:val="Def2Heading3"/>
        <w:numPr>
          <w:ilvl w:val="0"/>
          <w:numId w:val="7"/>
        </w:numPr>
        <w:spacing w:before="0" w:after="120"/>
        <w:ind w:left="0" w:firstLine="1418"/>
        <w:jc w:val="both"/>
        <w:rPr>
          <w:sz w:val="22"/>
          <w:szCs w:val="22"/>
        </w:rPr>
      </w:pPr>
      <w:r>
        <w:rPr>
          <w:sz w:val="22"/>
          <w:szCs w:val="22"/>
        </w:rPr>
        <w:t xml:space="preserve">The execution, delivery and performance by the Company of this </w:t>
      </w:r>
      <w:r w:rsidR="00A447CA">
        <w:rPr>
          <w:sz w:val="22"/>
          <w:szCs w:val="22"/>
        </w:rPr>
        <w:t>instrument</w:t>
      </w:r>
      <w:r>
        <w:rPr>
          <w:sz w:val="22"/>
          <w:szCs w:val="22"/>
        </w:rPr>
        <w:t xml:space="preserve"> is within the power of the Company and, other than with respect to the actions to be taken </w:t>
      </w:r>
      <w:r w:rsidR="00584237">
        <w:rPr>
          <w:sz w:val="22"/>
          <w:szCs w:val="22"/>
        </w:rPr>
        <w:t>when equity is to be issued to the Investor</w:t>
      </w:r>
      <w:r>
        <w:rPr>
          <w:sz w:val="22"/>
          <w:szCs w:val="22"/>
        </w:rPr>
        <w:t>, has been duly authorized by all necessary actions</w:t>
      </w:r>
      <w:r w:rsidR="00584237">
        <w:rPr>
          <w:sz w:val="22"/>
          <w:szCs w:val="22"/>
        </w:rPr>
        <w:t xml:space="preserve"> on the part of the Company. This</w:t>
      </w:r>
      <w:r>
        <w:rPr>
          <w:sz w:val="22"/>
          <w:szCs w:val="22"/>
        </w:rPr>
        <w:t xml:space="preserve"> </w:t>
      </w:r>
      <w:r w:rsidR="00A447CA">
        <w:rPr>
          <w:sz w:val="22"/>
          <w:szCs w:val="22"/>
        </w:rPr>
        <w:t>instrument</w:t>
      </w:r>
      <w:r>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certificate of incorporation or bylaws, (ii) any material statute, rule or regulation applicable to the Company</w:t>
      </w:r>
      <w:r w:rsidR="008030EF">
        <w:rPr>
          <w:sz w:val="22"/>
          <w:szCs w:val="22"/>
        </w:rPr>
        <w:t>,</w:t>
      </w:r>
      <w:r>
        <w:rPr>
          <w:sz w:val="22"/>
          <w:szCs w:val="22"/>
        </w:rPr>
        <w:t xml:space="preserve"> or (iii) any material indenture or contract to which the Company is a party or by which it is bound, </w:t>
      </w:r>
      <w:r>
        <w:t xml:space="preserve">where, in each case, </w:t>
      </w:r>
      <w:r w:rsidRPr="003420AD">
        <w:rPr>
          <w:sz w:val="22"/>
          <w:szCs w:val="22"/>
        </w:rPr>
        <w:t>such violation or default, individually, or together with all such violations or defaults, could reasonably be expected to have a material adverse effect on the Company</w:t>
      </w:r>
      <w:r>
        <w:rPr>
          <w:sz w:val="22"/>
          <w:szCs w:val="22"/>
        </w:rPr>
        <w:t>.</w:t>
      </w:r>
    </w:p>
    <w:p w14:paraId="1410BA89" w14:textId="676024F8" w:rsidR="003D010D" w:rsidRDefault="003D010D" w:rsidP="00DB6B67">
      <w:pPr>
        <w:pStyle w:val="Def2Heading3"/>
        <w:numPr>
          <w:ilvl w:val="0"/>
          <w:numId w:val="7"/>
        </w:numPr>
        <w:spacing w:before="0" w:after="120"/>
        <w:ind w:left="0" w:firstLine="1418"/>
        <w:jc w:val="both"/>
        <w:rPr>
          <w:sz w:val="22"/>
          <w:szCs w:val="22"/>
        </w:rPr>
      </w:pPr>
      <w:r>
        <w:rPr>
          <w:sz w:val="22"/>
          <w:szCs w:val="22"/>
        </w:rPr>
        <w:t>The performance and consummation of the t</w:t>
      </w:r>
      <w:r w:rsidR="00A447CA">
        <w:rPr>
          <w:sz w:val="22"/>
          <w:szCs w:val="22"/>
        </w:rPr>
        <w:t xml:space="preserve">ransactions contemplated by this instrument </w:t>
      </w:r>
      <w:r>
        <w:rPr>
          <w:sz w:val="22"/>
          <w:szCs w:val="22"/>
        </w:rPr>
        <w:t>do no</w:t>
      </w:r>
      <w:r w:rsidR="00F61FC3">
        <w:rPr>
          <w:sz w:val="22"/>
          <w:szCs w:val="22"/>
        </w:rPr>
        <w:t xml:space="preserve">t and will not: (i) violate </w:t>
      </w:r>
      <w:r>
        <w:rPr>
          <w:sz w:val="22"/>
          <w:szCs w:val="22"/>
        </w:rPr>
        <w:t>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60D0C78D" w14:textId="6E771CF3" w:rsidR="003D010D" w:rsidRDefault="003D010D" w:rsidP="00DB6B67">
      <w:pPr>
        <w:pStyle w:val="Def2Heading3"/>
        <w:numPr>
          <w:ilvl w:val="0"/>
          <w:numId w:val="7"/>
        </w:numPr>
        <w:spacing w:before="0" w:after="120"/>
        <w:ind w:left="0" w:firstLine="1418"/>
        <w:jc w:val="both"/>
        <w:rPr>
          <w:sz w:val="22"/>
          <w:szCs w:val="22"/>
        </w:rPr>
      </w:pPr>
      <w:r>
        <w:rPr>
          <w:sz w:val="22"/>
          <w:szCs w:val="22"/>
        </w:rPr>
        <w:t xml:space="preserve">No consents or approvals are required in connection with the performance of </w:t>
      </w:r>
      <w:r w:rsidR="00CF66F8">
        <w:rPr>
          <w:sz w:val="22"/>
          <w:szCs w:val="22"/>
        </w:rPr>
        <w:t>this instrument</w:t>
      </w:r>
      <w:r w:rsidR="00AB42DD">
        <w:rPr>
          <w:sz w:val="22"/>
          <w:szCs w:val="22"/>
        </w:rPr>
        <w:t>[</w:t>
      </w:r>
      <w:r w:rsidRPr="00AB42DD">
        <w:rPr>
          <w:sz w:val="22"/>
          <w:szCs w:val="22"/>
        </w:rPr>
        <w:t xml:space="preserve">, other than: (i) the Company’s corporate approvals; (ii) any qualifications or filings under applicable securities laws; and (iii) necessary corporate approvals for the authorization of </w:t>
      </w:r>
      <w:r w:rsidR="00815AAF" w:rsidRPr="00AB42DD">
        <w:rPr>
          <w:sz w:val="22"/>
          <w:szCs w:val="22"/>
        </w:rPr>
        <w:t xml:space="preserve">Share </w:t>
      </w:r>
      <w:r w:rsidR="0056519B" w:rsidRPr="00AB42DD">
        <w:rPr>
          <w:sz w:val="22"/>
          <w:szCs w:val="22"/>
        </w:rPr>
        <w:t xml:space="preserve">Capital </w:t>
      </w:r>
      <w:r w:rsidR="009E2647" w:rsidRPr="00AB42DD">
        <w:rPr>
          <w:sz w:val="22"/>
          <w:szCs w:val="22"/>
        </w:rPr>
        <w:t>issuable</w:t>
      </w:r>
      <w:r w:rsidR="00CF66F8" w:rsidRPr="00AB42DD">
        <w:rPr>
          <w:sz w:val="22"/>
          <w:szCs w:val="22"/>
        </w:rPr>
        <w:t xml:space="preserve"> pursuant to Section 1</w:t>
      </w:r>
      <w:r w:rsidR="00AB42DD">
        <w:rPr>
          <w:sz w:val="22"/>
          <w:szCs w:val="22"/>
        </w:rPr>
        <w:t>]</w:t>
      </w:r>
      <w:r w:rsidR="00AB42DD">
        <w:rPr>
          <w:rStyle w:val="FootnoteReference"/>
          <w:sz w:val="22"/>
          <w:szCs w:val="22"/>
        </w:rPr>
        <w:footnoteReference w:id="20"/>
      </w:r>
      <w:r>
        <w:rPr>
          <w:sz w:val="22"/>
          <w:szCs w:val="22"/>
        </w:rPr>
        <w:t>.</w:t>
      </w:r>
    </w:p>
    <w:p w14:paraId="44844563" w14:textId="542C48B9" w:rsidR="003D010D" w:rsidRDefault="00D12DC9" w:rsidP="00DB6B67">
      <w:pPr>
        <w:pStyle w:val="Def2Heading3"/>
        <w:numPr>
          <w:ilvl w:val="0"/>
          <w:numId w:val="7"/>
        </w:numPr>
        <w:spacing w:before="0" w:after="120"/>
        <w:ind w:left="0" w:firstLine="1418"/>
        <w:jc w:val="both"/>
        <w:rPr>
          <w:sz w:val="22"/>
          <w:szCs w:val="22"/>
        </w:rPr>
      </w:pPr>
      <w:r>
        <w:rPr>
          <w:sz w:val="22"/>
          <w:szCs w:val="22"/>
        </w:rPr>
        <w:t>[</w:t>
      </w:r>
      <w:r w:rsidR="003D010D">
        <w:rPr>
          <w:sz w:val="22"/>
          <w:szCs w:val="22"/>
        </w:rPr>
        <w:t>To its knowledge,</w:t>
      </w:r>
      <w:r>
        <w:rPr>
          <w:sz w:val="22"/>
          <w:szCs w:val="22"/>
        </w:rPr>
        <w:t>]</w:t>
      </w:r>
      <w:r w:rsidR="003D010D">
        <w:rPr>
          <w:sz w:val="22"/>
          <w:szCs w:val="22"/>
        </w:rPr>
        <w:t xml:space="preserv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2166C6A7" w14:textId="41EEC96F" w:rsidR="002E26E3" w:rsidRPr="00D00425" w:rsidRDefault="002E26E3" w:rsidP="00DB6B67">
      <w:pPr>
        <w:pStyle w:val="Def2Heading3"/>
        <w:numPr>
          <w:ilvl w:val="0"/>
          <w:numId w:val="7"/>
        </w:numPr>
        <w:spacing w:before="0" w:after="120"/>
        <w:ind w:left="0" w:firstLine="1418"/>
        <w:jc w:val="both"/>
        <w:rPr>
          <w:sz w:val="22"/>
          <w:szCs w:val="22"/>
        </w:rPr>
      </w:pPr>
      <w:r w:rsidRPr="00FE010D">
        <w:rPr>
          <w:sz w:val="22"/>
        </w:rPr>
        <w:lastRenderedPageBreak/>
        <w:t>The Company complies with the requirements set forth in Section 2.1 of the ITA Guidelines. The Company shall comply with the requirements set forth in Section 2.2.10 of the ITA Guidelines</w:t>
      </w:r>
      <w:r>
        <w:rPr>
          <w:sz w:val="22"/>
          <w:szCs w:val="22"/>
        </w:rPr>
        <w:t>.</w:t>
      </w:r>
    </w:p>
    <w:p w14:paraId="7EDFA66B" w14:textId="77777777" w:rsidR="00D00425" w:rsidRDefault="008C2626" w:rsidP="00DB6B67">
      <w:pPr>
        <w:pStyle w:val="ListParagraph"/>
        <w:numPr>
          <w:ilvl w:val="0"/>
          <w:numId w:val="3"/>
        </w:numPr>
        <w:autoSpaceDE w:val="0"/>
        <w:autoSpaceDN w:val="0"/>
        <w:adjustRightInd w:val="0"/>
        <w:spacing w:before="0" w:after="120"/>
        <w:ind w:left="0" w:firstLine="709"/>
        <w:jc w:val="both"/>
        <w:rPr>
          <w:sz w:val="22"/>
          <w:szCs w:val="22"/>
        </w:rPr>
      </w:pPr>
      <w:r>
        <w:rPr>
          <w:b/>
          <w:i/>
          <w:sz w:val="22"/>
          <w:szCs w:val="22"/>
        </w:rPr>
        <w:t>Investor</w:t>
      </w:r>
      <w:r w:rsidR="007C29F3" w:rsidRPr="00013409">
        <w:rPr>
          <w:b/>
          <w:i/>
          <w:sz w:val="22"/>
          <w:szCs w:val="22"/>
        </w:rPr>
        <w:t xml:space="preserve"> Representations</w:t>
      </w:r>
    </w:p>
    <w:p w14:paraId="65004816" w14:textId="5500B198" w:rsidR="0094024D" w:rsidRDefault="0094024D" w:rsidP="00DB6B67">
      <w:pPr>
        <w:pStyle w:val="Def2Heading3"/>
        <w:numPr>
          <w:ilvl w:val="0"/>
          <w:numId w:val="8"/>
        </w:numPr>
        <w:spacing w:before="0" w:after="120"/>
        <w:ind w:left="0" w:firstLine="1418"/>
        <w:jc w:val="both"/>
        <w:rPr>
          <w:sz w:val="22"/>
          <w:szCs w:val="22"/>
        </w:rPr>
      </w:pPr>
      <w:r>
        <w:rPr>
          <w:sz w:val="22"/>
          <w:szCs w:val="22"/>
        </w:rPr>
        <w:t xml:space="preserve">The </w:t>
      </w:r>
      <w:r w:rsidR="008C2626">
        <w:rPr>
          <w:sz w:val="22"/>
          <w:szCs w:val="22"/>
        </w:rPr>
        <w:t>Investor</w:t>
      </w:r>
      <w:r>
        <w:rPr>
          <w:sz w:val="22"/>
          <w:szCs w:val="22"/>
        </w:rPr>
        <w:t xml:space="preserve"> has full legal capacity, power and authority to execute and deliver this </w:t>
      </w:r>
      <w:r w:rsidR="00CF66F8">
        <w:rPr>
          <w:sz w:val="22"/>
          <w:szCs w:val="22"/>
        </w:rPr>
        <w:t>instrument</w:t>
      </w:r>
      <w:r>
        <w:rPr>
          <w:sz w:val="22"/>
          <w:szCs w:val="22"/>
        </w:rPr>
        <w:t xml:space="preserve"> and to perform its obl</w:t>
      </w:r>
      <w:r w:rsidR="00CF66F8">
        <w:rPr>
          <w:sz w:val="22"/>
          <w:szCs w:val="22"/>
        </w:rPr>
        <w:t>igations hereunder. This instrument</w:t>
      </w:r>
      <w:r>
        <w:rPr>
          <w:sz w:val="22"/>
          <w:szCs w:val="22"/>
        </w:rPr>
        <w:t xml:space="preserve"> constitutes </w:t>
      </w:r>
      <w:r w:rsidR="00286ABE">
        <w:rPr>
          <w:sz w:val="22"/>
          <w:szCs w:val="22"/>
        </w:rPr>
        <w:t xml:space="preserve">the </w:t>
      </w:r>
      <w:r>
        <w:rPr>
          <w:sz w:val="22"/>
          <w:szCs w:val="22"/>
        </w:rPr>
        <w:t xml:space="preserve">valid and binding obligation of the </w:t>
      </w:r>
      <w:r w:rsidR="008C2626">
        <w:rPr>
          <w:sz w:val="22"/>
          <w:szCs w:val="22"/>
        </w:rPr>
        <w:t>Investor</w:t>
      </w:r>
      <w:r>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56DA5F83" w14:textId="317867EB" w:rsidR="0094024D" w:rsidRDefault="00815AAF" w:rsidP="00DB6B67">
      <w:pPr>
        <w:pStyle w:val="Def2Heading3"/>
        <w:numPr>
          <w:ilvl w:val="0"/>
          <w:numId w:val="8"/>
        </w:numPr>
        <w:spacing w:before="0" w:after="120"/>
        <w:ind w:left="0" w:firstLine="1418"/>
        <w:jc w:val="both"/>
        <w:rPr>
          <w:sz w:val="22"/>
          <w:szCs w:val="22"/>
        </w:rPr>
      </w:pPr>
      <w:r w:rsidRPr="00815AAF">
        <w:rPr>
          <w:sz w:val="22"/>
          <w:szCs w:val="22"/>
        </w:rPr>
        <w:t>The Investor is an accredited investor (pursuant to applicable Securities Laws)</w:t>
      </w:r>
      <w:r>
        <w:rPr>
          <w:sz w:val="22"/>
          <w:szCs w:val="22"/>
        </w:rPr>
        <w:t xml:space="preserve">. </w:t>
      </w:r>
      <w:r w:rsidR="0094024D">
        <w:rPr>
          <w:sz w:val="22"/>
          <w:szCs w:val="22"/>
        </w:rPr>
        <w:t xml:space="preserve">The </w:t>
      </w:r>
      <w:r w:rsidR="008C2626">
        <w:rPr>
          <w:sz w:val="22"/>
          <w:szCs w:val="22"/>
        </w:rPr>
        <w:t>Investor</w:t>
      </w:r>
      <w:r w:rsidR="00412847">
        <w:rPr>
          <w:sz w:val="22"/>
          <w:szCs w:val="22"/>
        </w:rPr>
        <w:t xml:space="preserve"> has been advised that this instrument</w:t>
      </w:r>
      <w:r w:rsidR="0094024D">
        <w:rPr>
          <w:sz w:val="22"/>
          <w:szCs w:val="22"/>
        </w:rPr>
        <w:t xml:space="preserve"> and the underlying securities have not been registered under </w:t>
      </w:r>
      <w:r w:rsidRPr="00815AAF">
        <w:rPr>
          <w:sz w:val="22"/>
          <w:szCs w:val="22"/>
        </w:rPr>
        <w:t>any Securities Law</w:t>
      </w:r>
      <w:r>
        <w:rPr>
          <w:sz w:val="22"/>
          <w:szCs w:val="22"/>
        </w:rPr>
        <w:t xml:space="preserve"> </w:t>
      </w:r>
      <w:r w:rsidR="0094024D">
        <w:rPr>
          <w:sz w:val="22"/>
          <w:szCs w:val="22"/>
        </w:rPr>
        <w:t xml:space="preserve">and, therefore, cannot be resold unless they are registered under </w:t>
      </w:r>
      <w:r w:rsidRPr="00815AAF">
        <w:rPr>
          <w:sz w:val="22"/>
          <w:szCs w:val="22"/>
        </w:rPr>
        <w:t xml:space="preserve">applicable Securities Laws </w:t>
      </w:r>
      <w:r w:rsidR="0094024D">
        <w:rPr>
          <w:sz w:val="22"/>
          <w:szCs w:val="22"/>
        </w:rPr>
        <w:t xml:space="preserve">or unless an exemption from such registration requirements is available. </w:t>
      </w:r>
      <w:r w:rsidR="0094024D" w:rsidRPr="00D32A1D">
        <w:rPr>
          <w:sz w:val="22"/>
          <w:szCs w:val="22"/>
        </w:rPr>
        <w:t xml:space="preserve">The </w:t>
      </w:r>
      <w:r w:rsidR="008C2626" w:rsidRPr="00D32A1D">
        <w:rPr>
          <w:sz w:val="22"/>
          <w:szCs w:val="22"/>
        </w:rPr>
        <w:t>Investor</w:t>
      </w:r>
      <w:r w:rsidR="0094024D" w:rsidRPr="00D32A1D">
        <w:rPr>
          <w:sz w:val="22"/>
          <w:szCs w:val="22"/>
        </w:rPr>
        <w:t xml:space="preserve"> </w:t>
      </w:r>
      <w:r w:rsidR="00412847">
        <w:rPr>
          <w:sz w:val="22"/>
          <w:szCs w:val="22"/>
        </w:rPr>
        <w:t>is purchasing this instrument</w:t>
      </w:r>
      <w:r w:rsidR="0094024D">
        <w:rPr>
          <w:sz w:val="22"/>
          <w:szCs w:val="22"/>
        </w:rPr>
        <w:t xml:space="preserve"> and the securities to be acquired by the </w:t>
      </w:r>
      <w:r w:rsidR="008C2626">
        <w:rPr>
          <w:sz w:val="22"/>
          <w:szCs w:val="22"/>
        </w:rPr>
        <w:t>Investor</w:t>
      </w:r>
      <w:r w:rsidR="0094024D">
        <w:rPr>
          <w:sz w:val="22"/>
          <w:szCs w:val="22"/>
        </w:rPr>
        <w:t xml:space="preserve"> hereunder for its own account for investment, not as a nominee or agent, and not with a view to, or for resale in connection with, the distribution thereof, and the </w:t>
      </w:r>
      <w:r w:rsidR="008C2626">
        <w:rPr>
          <w:sz w:val="22"/>
          <w:szCs w:val="22"/>
        </w:rPr>
        <w:t>Investor</w:t>
      </w:r>
      <w:r w:rsidR="0094024D">
        <w:rPr>
          <w:sz w:val="22"/>
          <w:szCs w:val="22"/>
        </w:rPr>
        <w:t xml:space="preserve"> has no present intention of selling, granting any participation in, or otherwise distributing the same. The </w:t>
      </w:r>
      <w:r w:rsidR="008C2626">
        <w:rPr>
          <w:sz w:val="22"/>
          <w:szCs w:val="22"/>
        </w:rPr>
        <w:t>Investor</w:t>
      </w:r>
      <w:r w:rsidR="0094024D">
        <w:rPr>
          <w:sz w:val="22"/>
          <w:szCs w:val="22"/>
        </w:rPr>
        <w:t xml:space="preserve"> has such knowledge and experience in financial and business matters that </w:t>
      </w:r>
      <w:r w:rsidR="00286ABE">
        <w:rPr>
          <w:sz w:val="22"/>
          <w:szCs w:val="22"/>
        </w:rPr>
        <w:t>it</w:t>
      </w:r>
      <w:r w:rsidR="0094024D">
        <w:rPr>
          <w:sz w:val="22"/>
          <w:szCs w:val="22"/>
        </w:rPr>
        <w:t xml:space="preserve"> is capable of evaluating the merits and risks of such investment, is able to incur a complete loss of such investment without impairing </w:t>
      </w:r>
      <w:r w:rsidR="00286ABE">
        <w:rPr>
          <w:sz w:val="22"/>
          <w:szCs w:val="22"/>
        </w:rPr>
        <w:t>its</w:t>
      </w:r>
      <w:r w:rsidR="0094024D">
        <w:rPr>
          <w:sz w:val="22"/>
          <w:szCs w:val="22"/>
        </w:rPr>
        <w:t xml:space="preserve"> financial condition and is able to bear the economic risk of such investment for an indefinite period of time. </w:t>
      </w:r>
    </w:p>
    <w:p w14:paraId="128F1788" w14:textId="77777777" w:rsidR="0094024D" w:rsidRDefault="00EC0F44" w:rsidP="00DB6B67">
      <w:pPr>
        <w:pStyle w:val="ListParagraph"/>
        <w:numPr>
          <w:ilvl w:val="0"/>
          <w:numId w:val="3"/>
        </w:numPr>
        <w:autoSpaceDE w:val="0"/>
        <w:autoSpaceDN w:val="0"/>
        <w:adjustRightInd w:val="0"/>
        <w:spacing w:before="0" w:after="120"/>
        <w:ind w:left="0" w:firstLine="709"/>
        <w:jc w:val="both"/>
        <w:rPr>
          <w:b/>
          <w:i/>
          <w:sz w:val="22"/>
          <w:szCs w:val="22"/>
        </w:rPr>
      </w:pPr>
      <w:r>
        <w:rPr>
          <w:b/>
          <w:i/>
          <w:sz w:val="22"/>
          <w:szCs w:val="22"/>
        </w:rPr>
        <w:t>Miscellaneous</w:t>
      </w:r>
    </w:p>
    <w:p w14:paraId="16868850" w14:textId="2573FDA3" w:rsidR="00957952" w:rsidRPr="00861B01" w:rsidRDefault="00F473F4" w:rsidP="00DB6B67">
      <w:pPr>
        <w:pStyle w:val="Def2Heading3"/>
        <w:numPr>
          <w:ilvl w:val="0"/>
          <w:numId w:val="9"/>
        </w:numPr>
        <w:spacing w:before="0" w:after="120"/>
        <w:ind w:left="0" w:firstLine="1418"/>
        <w:jc w:val="both"/>
        <w:rPr>
          <w:sz w:val="22"/>
          <w:szCs w:val="22"/>
        </w:rPr>
      </w:pPr>
      <w:r>
        <w:rPr>
          <w:sz w:val="22"/>
          <w:szCs w:val="22"/>
        </w:rPr>
        <w:t>Any provision of this instrument</w:t>
      </w:r>
      <w:r w:rsidR="00EB642C">
        <w:rPr>
          <w:sz w:val="22"/>
          <w:szCs w:val="22"/>
        </w:rPr>
        <w:t xml:space="preserve"> may be amended, waived or modified only upon the written consent of the Company</w:t>
      </w:r>
      <w:r w:rsidR="003B0797">
        <w:rPr>
          <w:sz w:val="22"/>
          <w:szCs w:val="22"/>
        </w:rPr>
        <w:t xml:space="preserve"> and </w:t>
      </w:r>
      <w:r w:rsidR="004221A9">
        <w:rPr>
          <w:sz w:val="22"/>
          <w:szCs w:val="22"/>
        </w:rPr>
        <w:t xml:space="preserve">either (i) </w:t>
      </w:r>
      <w:r w:rsidR="003B0797">
        <w:rPr>
          <w:sz w:val="22"/>
          <w:szCs w:val="22"/>
        </w:rPr>
        <w:t xml:space="preserve">the </w:t>
      </w:r>
      <w:r w:rsidR="008C2626">
        <w:rPr>
          <w:sz w:val="22"/>
          <w:szCs w:val="22"/>
        </w:rPr>
        <w:t>Investor</w:t>
      </w:r>
      <w:r w:rsidR="004221A9">
        <w:rPr>
          <w:sz w:val="22"/>
          <w:szCs w:val="22"/>
        </w:rPr>
        <w:t xml:space="preserve">; or (ii) the </w:t>
      </w:r>
      <w:r w:rsidR="00CD2C66">
        <w:rPr>
          <w:sz w:val="22"/>
          <w:szCs w:val="22"/>
        </w:rPr>
        <w:t>m</w:t>
      </w:r>
      <w:r w:rsidR="004221A9">
        <w:rPr>
          <w:sz w:val="22"/>
          <w:szCs w:val="22"/>
        </w:rPr>
        <w:t xml:space="preserve">ajority-in-interest of all then-outstanding </w:t>
      </w:r>
      <w:r w:rsidR="000332CB">
        <w:rPr>
          <w:sz w:val="22"/>
          <w:szCs w:val="22"/>
        </w:rPr>
        <w:t>SAFE</w:t>
      </w:r>
      <w:r w:rsidR="004221A9">
        <w:rPr>
          <w:sz w:val="22"/>
          <w:szCs w:val="22"/>
        </w:rPr>
        <w:t xml:space="preserve">s with the same “Valuation Cap” and “Discount Rate” as this </w:t>
      </w:r>
      <w:r w:rsidR="000332CB">
        <w:rPr>
          <w:sz w:val="22"/>
          <w:szCs w:val="22"/>
        </w:rPr>
        <w:t>SAFE</w:t>
      </w:r>
      <w:r w:rsidR="004221A9">
        <w:rPr>
          <w:sz w:val="22"/>
          <w:szCs w:val="22"/>
        </w:rPr>
        <w:t xml:space="preserve">, </w:t>
      </w:r>
      <w:r w:rsidR="004221A9" w:rsidRPr="003C53F7">
        <w:rPr>
          <w:i/>
          <w:sz w:val="22"/>
          <w:szCs w:val="22"/>
        </w:rPr>
        <w:t>provided that</w:t>
      </w:r>
      <w:r w:rsidR="004221A9">
        <w:rPr>
          <w:sz w:val="22"/>
          <w:szCs w:val="22"/>
        </w:rPr>
        <w:t xml:space="preserve"> with respect to clause (ii): (A) the Purchase Amount may not be amended, waived or modified in this manner, (B) the consent of the Investor and each holder of such </w:t>
      </w:r>
      <w:r w:rsidR="000332CB">
        <w:rPr>
          <w:sz w:val="22"/>
          <w:szCs w:val="22"/>
        </w:rPr>
        <w:t>SAFE</w:t>
      </w:r>
      <w:r w:rsidR="004221A9">
        <w:rPr>
          <w:sz w:val="22"/>
          <w:szCs w:val="22"/>
        </w:rPr>
        <w:t xml:space="preserve"> must be solicited (even if not obtained), and (C) such amendment, waiver or modification treats all such holders in the same manner. “Majority-in-interest” refers to the holders of the applicable group of </w:t>
      </w:r>
      <w:r w:rsidR="000332CB">
        <w:rPr>
          <w:sz w:val="22"/>
          <w:szCs w:val="22"/>
        </w:rPr>
        <w:t>SAFE</w:t>
      </w:r>
      <w:r w:rsidR="00C71D45">
        <w:rPr>
          <w:sz w:val="22"/>
          <w:szCs w:val="22"/>
        </w:rPr>
        <w:t>s</w:t>
      </w:r>
      <w:r w:rsidR="00667E59">
        <w:rPr>
          <w:sz w:val="22"/>
          <w:szCs w:val="22"/>
        </w:rPr>
        <w:t>,</w:t>
      </w:r>
      <w:r w:rsidR="00C71D45">
        <w:rPr>
          <w:sz w:val="22"/>
          <w:szCs w:val="22"/>
        </w:rPr>
        <w:t xml:space="preserve"> </w:t>
      </w:r>
      <w:r w:rsidR="004221A9">
        <w:rPr>
          <w:sz w:val="22"/>
          <w:szCs w:val="22"/>
        </w:rPr>
        <w:t xml:space="preserve">whose </w:t>
      </w:r>
      <w:r w:rsidR="000332CB">
        <w:rPr>
          <w:sz w:val="22"/>
          <w:szCs w:val="22"/>
        </w:rPr>
        <w:t>SAFE</w:t>
      </w:r>
      <w:r w:rsidR="00C71D45">
        <w:rPr>
          <w:sz w:val="22"/>
          <w:szCs w:val="22"/>
        </w:rPr>
        <w:t xml:space="preserve">s </w:t>
      </w:r>
      <w:r w:rsidR="004221A9">
        <w:rPr>
          <w:sz w:val="22"/>
          <w:szCs w:val="22"/>
        </w:rPr>
        <w:t>have a total Purchase Amount greater than 50% of the total Purchase Amount of all such applicable group of</w:t>
      </w:r>
      <w:r w:rsidR="00C71D45">
        <w:rPr>
          <w:sz w:val="22"/>
          <w:szCs w:val="22"/>
        </w:rPr>
        <w:t xml:space="preserve"> </w:t>
      </w:r>
      <w:r w:rsidR="000332CB">
        <w:rPr>
          <w:sz w:val="22"/>
          <w:szCs w:val="22"/>
        </w:rPr>
        <w:t>SAFE</w:t>
      </w:r>
      <w:r w:rsidR="00C71D45">
        <w:rPr>
          <w:sz w:val="22"/>
          <w:szCs w:val="22"/>
        </w:rPr>
        <w:t>s</w:t>
      </w:r>
      <w:r w:rsidR="00861B01">
        <w:rPr>
          <w:sz w:val="22"/>
          <w:szCs w:val="22"/>
        </w:rPr>
        <w:t>.</w:t>
      </w:r>
    </w:p>
    <w:p w14:paraId="4228189D" w14:textId="4591CBCA" w:rsidR="00BE7250" w:rsidRDefault="007866A3" w:rsidP="00DB6B67">
      <w:pPr>
        <w:pStyle w:val="Def2Heading3"/>
        <w:numPr>
          <w:ilvl w:val="0"/>
          <w:numId w:val="9"/>
        </w:numPr>
        <w:spacing w:before="0" w:after="120"/>
        <w:ind w:left="0" w:firstLine="1418"/>
        <w:jc w:val="both"/>
        <w:rPr>
          <w:sz w:val="22"/>
          <w:szCs w:val="22"/>
        </w:rPr>
      </w:pPr>
      <w:r w:rsidRPr="00824C2B">
        <w:rPr>
          <w:sz w:val="22"/>
          <w:szCs w:val="22"/>
        </w:rPr>
        <w:t xml:space="preserve">Any notice required or permitted by this instrument </w:t>
      </w:r>
      <w:r w:rsidR="002B4850">
        <w:rPr>
          <w:sz w:val="22"/>
          <w:szCs w:val="22"/>
        </w:rPr>
        <w:t>will</w:t>
      </w:r>
      <w:r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Pr="00824C2B">
        <w:rPr>
          <w:sz w:val="22"/>
          <w:szCs w:val="22"/>
        </w:rPr>
        <w:t xml:space="preserve">, or 48 hours after being </w:t>
      </w:r>
      <w:r w:rsidR="00815AAF">
        <w:rPr>
          <w:sz w:val="22"/>
          <w:szCs w:val="22"/>
        </w:rPr>
        <w:t xml:space="preserve">deposited in the </w:t>
      </w:r>
      <w:r w:rsidRPr="00824C2B">
        <w:rPr>
          <w:sz w:val="22"/>
          <w:szCs w:val="22"/>
        </w:rPr>
        <w:t xml:space="preserve">mail as certified or registered mail with postage prepaid, addressed to the party to be notified at such party’s address </w:t>
      </w:r>
      <w:r w:rsidR="00795EE8">
        <w:rPr>
          <w:sz w:val="22"/>
          <w:szCs w:val="22"/>
        </w:rPr>
        <w:t>listed</w:t>
      </w:r>
      <w:r w:rsidRPr="00824C2B">
        <w:rPr>
          <w:sz w:val="22"/>
          <w:szCs w:val="22"/>
        </w:rPr>
        <w:t xml:space="preserve"> on the signature page, as subseque</w:t>
      </w:r>
      <w:r>
        <w:rPr>
          <w:sz w:val="22"/>
          <w:szCs w:val="22"/>
        </w:rPr>
        <w:t>ntly modified by written notice</w:t>
      </w:r>
      <w:r w:rsidRPr="00824C2B">
        <w:rPr>
          <w:sz w:val="22"/>
          <w:szCs w:val="22"/>
        </w:rPr>
        <w:t>.</w:t>
      </w:r>
    </w:p>
    <w:p w14:paraId="174517AE" w14:textId="0543E56B" w:rsidR="00E23215" w:rsidRDefault="004A216F" w:rsidP="00DB6B67">
      <w:pPr>
        <w:pStyle w:val="Def2Heading3"/>
        <w:numPr>
          <w:ilvl w:val="0"/>
          <w:numId w:val="9"/>
        </w:numPr>
        <w:spacing w:before="0" w:after="120"/>
        <w:ind w:left="0" w:firstLine="1418"/>
        <w:jc w:val="both"/>
        <w:rPr>
          <w:sz w:val="22"/>
          <w:szCs w:val="22"/>
        </w:rPr>
      </w:pPr>
      <w:r>
        <w:rPr>
          <w:sz w:val="22"/>
          <w:szCs w:val="22"/>
        </w:rPr>
        <w:t xml:space="preserve">The Investor is not entitled, as a holder of this instrument, to vote or receive dividends or be deemed the holder of </w:t>
      </w:r>
      <w:r w:rsidR="00815AAF">
        <w:rPr>
          <w:sz w:val="22"/>
          <w:szCs w:val="22"/>
        </w:rPr>
        <w:t xml:space="preserve">Share </w:t>
      </w:r>
      <w:r>
        <w:rPr>
          <w:sz w:val="22"/>
          <w:szCs w:val="22"/>
        </w:rPr>
        <w:t>Capital for any purpose, nor will anything contained herein be construed to confer on the Investor, as</w:t>
      </w:r>
      <w:r w:rsidR="00815AAF">
        <w:rPr>
          <w:sz w:val="22"/>
          <w:szCs w:val="22"/>
        </w:rPr>
        <w:t xml:space="preserve"> such, any of the rights of a share</w:t>
      </w:r>
      <w:r>
        <w:rPr>
          <w:sz w:val="22"/>
          <w:szCs w:val="22"/>
        </w:rPr>
        <w:t xml:space="preserve">holder of the Company or any right to vote for the election of directors or upon any matter submitted to </w:t>
      </w:r>
      <w:r w:rsidR="00815AAF">
        <w:rPr>
          <w:sz w:val="22"/>
          <w:szCs w:val="22"/>
        </w:rPr>
        <w:t>shareholders</w:t>
      </w:r>
      <w:r>
        <w:rPr>
          <w:sz w:val="22"/>
          <w:szCs w:val="22"/>
        </w:rPr>
        <w:t xml:space="preserve"> at any meeting thereof, or to give or withhold consent to any corporate action or to receive notice of meetings, or to receive subscription rights or otherwise until shares have been issued upon the terms described herein</w:t>
      </w:r>
      <w:r w:rsidR="00EC0F44">
        <w:rPr>
          <w:sz w:val="22"/>
          <w:szCs w:val="22"/>
        </w:rPr>
        <w:t>.</w:t>
      </w:r>
      <w:r w:rsidR="00001BE1">
        <w:rPr>
          <w:sz w:val="22"/>
          <w:szCs w:val="22"/>
        </w:rPr>
        <w:t xml:space="preserve"> </w:t>
      </w:r>
      <w:r w:rsidR="00566EC9">
        <w:rPr>
          <w:sz w:val="22"/>
          <w:szCs w:val="22"/>
        </w:rPr>
        <w:t>[</w:t>
      </w:r>
      <w:r w:rsidR="00001BE1">
        <w:rPr>
          <w:sz w:val="22"/>
          <w:szCs w:val="22"/>
        </w:rPr>
        <w:t xml:space="preserve">However, if the Company pays a dividend on outstanding shares of Ordinary Shares (that is not payable in shares of Ordinary Shares) while this </w:t>
      </w:r>
      <w:r w:rsidR="000332CB">
        <w:rPr>
          <w:sz w:val="22"/>
          <w:szCs w:val="22"/>
        </w:rPr>
        <w:t>SAFE</w:t>
      </w:r>
      <w:r w:rsidR="00566EC9">
        <w:rPr>
          <w:sz w:val="22"/>
          <w:szCs w:val="22"/>
        </w:rPr>
        <w:t xml:space="preserve"> </w:t>
      </w:r>
      <w:r w:rsidR="00001BE1">
        <w:rPr>
          <w:sz w:val="22"/>
          <w:szCs w:val="22"/>
        </w:rPr>
        <w:t>is outstanding, the Company will pay the Dividend Amount to the Investor at the same time.</w:t>
      </w:r>
      <w:r w:rsidR="00566EC9">
        <w:rPr>
          <w:sz w:val="22"/>
          <w:szCs w:val="22"/>
        </w:rPr>
        <w:t>]</w:t>
      </w:r>
      <w:r w:rsidR="00126F72">
        <w:rPr>
          <w:rStyle w:val="FootnoteReference"/>
          <w:sz w:val="22"/>
          <w:szCs w:val="22"/>
        </w:rPr>
        <w:footnoteReference w:id="21"/>
      </w:r>
    </w:p>
    <w:p w14:paraId="50AA1D1E" w14:textId="18C4F5F7" w:rsidR="00E23215" w:rsidRDefault="004A216F" w:rsidP="00DB6B67">
      <w:pPr>
        <w:pStyle w:val="Def2Heading3"/>
        <w:numPr>
          <w:ilvl w:val="0"/>
          <w:numId w:val="9"/>
        </w:numPr>
        <w:spacing w:before="0" w:after="120"/>
        <w:ind w:left="0" w:firstLine="1418"/>
        <w:jc w:val="both"/>
        <w:rPr>
          <w:sz w:val="22"/>
          <w:szCs w:val="22"/>
        </w:rPr>
      </w:pPr>
      <w:r>
        <w:rPr>
          <w:sz w:val="22"/>
          <w:szCs w:val="22"/>
        </w:rPr>
        <w:t xml:space="preserve">Neither this instrument nor the rights contained herein may be assigned, by operation of law or otherwise, by either party without the prior written consent of the other; </w:t>
      </w:r>
      <w:r w:rsidRPr="00A953B4">
        <w:rPr>
          <w:i/>
          <w:sz w:val="22"/>
          <w:szCs w:val="22"/>
        </w:rPr>
        <w:t>provided, however</w:t>
      </w:r>
      <w:r w:rsidRPr="00A953B4">
        <w:rPr>
          <w:sz w:val="22"/>
          <w:szCs w:val="22"/>
        </w:rPr>
        <w:t xml:space="preserve">, </w:t>
      </w:r>
      <w:r>
        <w:rPr>
          <w:sz w:val="22"/>
          <w:szCs w:val="22"/>
        </w:rPr>
        <w:t xml:space="preserve">that this </w:t>
      </w:r>
      <w:r>
        <w:rPr>
          <w:sz w:val="22"/>
          <w:szCs w:val="22"/>
        </w:rPr>
        <w:lastRenderedPageBreak/>
        <w:t xml:space="preserve">instrument and/or the rights contained herein may be assigned without the Company’s consent by the Investor </w:t>
      </w:r>
      <w:r w:rsidRPr="00B160B2">
        <w:rPr>
          <w:sz w:val="22"/>
          <w:szCs w:val="22"/>
          <w:lang w:eastAsia="zh-TW"/>
        </w:rPr>
        <w:t>to</w:t>
      </w:r>
      <w:r w:rsidR="00917E59">
        <w:rPr>
          <w:sz w:val="22"/>
          <w:szCs w:val="22"/>
          <w:lang w:eastAsia="zh-TW"/>
        </w:rPr>
        <w:t xml:space="preserve"> </w:t>
      </w:r>
      <w:bookmarkStart w:id="8" w:name="_Hlk139880918"/>
      <w:r w:rsidR="00917E59">
        <w:rPr>
          <w:sz w:val="22"/>
          <w:szCs w:val="22"/>
          <w:lang w:eastAsia="zh-TW"/>
        </w:rPr>
        <w:t>its Permitted Transferee</w:t>
      </w:r>
      <w:r w:rsidR="00286ABE">
        <w:rPr>
          <w:sz w:val="22"/>
          <w:szCs w:val="22"/>
          <w:lang w:eastAsia="zh-TW"/>
        </w:rPr>
        <w:t>(s)</w:t>
      </w:r>
      <w:r w:rsidR="00917E59">
        <w:rPr>
          <w:sz w:val="22"/>
          <w:szCs w:val="22"/>
          <w:lang w:eastAsia="zh-TW"/>
        </w:rPr>
        <w:t xml:space="preserve"> (as such term is defined in the Company’s Articles of Association)</w:t>
      </w:r>
      <w:bookmarkEnd w:id="8"/>
      <w:r w:rsidR="000C2E87">
        <w:rPr>
          <w:rStyle w:val="FootnoteReference"/>
          <w:sz w:val="22"/>
          <w:szCs w:val="22"/>
          <w:lang w:eastAsia="zh-TW"/>
        </w:rPr>
        <w:footnoteReference w:id="22"/>
      </w:r>
      <w:r w:rsidR="00347B1F" w:rsidRPr="00A953B4">
        <w:rPr>
          <w:sz w:val="22"/>
          <w:szCs w:val="22"/>
        </w:rPr>
        <w:t>.</w:t>
      </w:r>
      <w:r w:rsidR="00B160B2">
        <w:rPr>
          <w:sz w:val="22"/>
          <w:szCs w:val="22"/>
        </w:rPr>
        <w:t xml:space="preserve">  </w:t>
      </w:r>
    </w:p>
    <w:p w14:paraId="292BD680" w14:textId="571CD221" w:rsidR="002E26E3" w:rsidRDefault="002E26E3" w:rsidP="00DB6B67">
      <w:pPr>
        <w:pStyle w:val="Def2Heading3"/>
        <w:numPr>
          <w:ilvl w:val="0"/>
          <w:numId w:val="9"/>
        </w:numPr>
        <w:spacing w:before="0" w:after="120"/>
        <w:ind w:left="0" w:firstLine="1418"/>
        <w:jc w:val="both"/>
        <w:rPr>
          <w:sz w:val="22"/>
          <w:szCs w:val="22"/>
        </w:rPr>
      </w:pPr>
      <w:r w:rsidRPr="00B74E71">
        <w:rPr>
          <w:sz w:val="22"/>
          <w:szCs w:val="22"/>
        </w:rPr>
        <w:t xml:space="preserve">The parties hereto acknowledge their intent that this </w:t>
      </w:r>
      <w:r w:rsidR="000332CB">
        <w:rPr>
          <w:sz w:val="22"/>
          <w:szCs w:val="22"/>
        </w:rPr>
        <w:t>SAFE</w:t>
      </w:r>
      <w:r w:rsidRPr="00B74E71">
        <w:rPr>
          <w:sz w:val="22"/>
          <w:szCs w:val="22"/>
        </w:rPr>
        <w:t xml:space="preserve"> and the transactions contemplated hereby be deemed an equity investment in the Company, and accordingly qualify for the tax treatment set forth in Section 3.1 of the ITA Guidelines.</w:t>
      </w:r>
    </w:p>
    <w:p w14:paraId="11D0B4BC" w14:textId="07B62E2F" w:rsidR="00E23215" w:rsidRDefault="001D7B14" w:rsidP="00DB6B67">
      <w:pPr>
        <w:pStyle w:val="Def2Heading3"/>
        <w:numPr>
          <w:ilvl w:val="0"/>
          <w:numId w:val="9"/>
        </w:numPr>
        <w:spacing w:before="0" w:after="120"/>
        <w:ind w:left="0" w:firstLine="1418"/>
        <w:jc w:val="both"/>
        <w:rPr>
          <w:sz w:val="22"/>
          <w:szCs w:val="22"/>
        </w:rPr>
      </w:pPr>
      <w:r>
        <w:rPr>
          <w:sz w:val="22"/>
          <w:szCs w:val="22"/>
        </w:rPr>
        <w:t xml:space="preserve">In the event any one or more of the provisions of this </w:t>
      </w:r>
      <w:r w:rsidR="00775FCF">
        <w:rPr>
          <w:sz w:val="22"/>
          <w:szCs w:val="22"/>
        </w:rPr>
        <w:t>instrument</w:t>
      </w:r>
      <w:r>
        <w:rPr>
          <w:sz w:val="22"/>
          <w:szCs w:val="22"/>
        </w:rPr>
        <w:t xml:space="preserve"> </w:t>
      </w:r>
      <w:r w:rsidR="00830210">
        <w:rPr>
          <w:sz w:val="22"/>
          <w:szCs w:val="22"/>
        </w:rPr>
        <w:t>is</w:t>
      </w:r>
      <w:r>
        <w:rPr>
          <w:sz w:val="22"/>
          <w:szCs w:val="22"/>
        </w:rPr>
        <w:t xml:space="preserve"> for any reason held to be invalid, illegal or unenforceable, in whole or in part or in any respect, or in the event that any one or more of the provisions of this </w:t>
      </w:r>
      <w:r w:rsidR="00700492">
        <w:rPr>
          <w:sz w:val="22"/>
          <w:szCs w:val="22"/>
        </w:rPr>
        <w:t>instrument</w:t>
      </w:r>
      <w:r>
        <w:rPr>
          <w:sz w:val="22"/>
          <w:szCs w:val="22"/>
        </w:rPr>
        <w:t xml:space="preserve"> operate or would prospectively operate to invalidate this </w:t>
      </w:r>
      <w:r w:rsidR="00700492">
        <w:rPr>
          <w:sz w:val="22"/>
          <w:szCs w:val="22"/>
        </w:rPr>
        <w:t>instrument</w:t>
      </w:r>
      <w:r>
        <w:rPr>
          <w:sz w:val="22"/>
          <w:szCs w:val="22"/>
        </w:rPr>
        <w:t xml:space="preserve">, then and in any such event, such provision(s) only </w:t>
      </w:r>
      <w:r w:rsidR="00830210">
        <w:rPr>
          <w:sz w:val="22"/>
          <w:szCs w:val="22"/>
        </w:rPr>
        <w:t>will</w:t>
      </w:r>
      <w:r>
        <w:rPr>
          <w:sz w:val="22"/>
          <w:szCs w:val="22"/>
        </w:rPr>
        <w:t xml:space="preserve"> be deemed null and void and </w:t>
      </w:r>
      <w:r w:rsidR="00830210">
        <w:rPr>
          <w:sz w:val="22"/>
          <w:szCs w:val="22"/>
        </w:rPr>
        <w:t>will</w:t>
      </w:r>
      <w:r>
        <w:rPr>
          <w:sz w:val="22"/>
          <w:szCs w:val="22"/>
        </w:rPr>
        <w:t xml:space="preserve"> not affect any other provision of this </w:t>
      </w:r>
      <w:r w:rsidR="00700492">
        <w:rPr>
          <w:sz w:val="22"/>
          <w:szCs w:val="22"/>
        </w:rPr>
        <w:t>instrument</w:t>
      </w:r>
      <w:r>
        <w:rPr>
          <w:sz w:val="22"/>
          <w:szCs w:val="22"/>
        </w:rPr>
        <w:t xml:space="preserve"> and the remaining provisions of this </w:t>
      </w:r>
      <w:r w:rsidR="00700492">
        <w:rPr>
          <w:sz w:val="22"/>
          <w:szCs w:val="22"/>
        </w:rPr>
        <w:t>instrument</w:t>
      </w:r>
      <w:r>
        <w:rPr>
          <w:sz w:val="22"/>
          <w:szCs w:val="22"/>
        </w:rPr>
        <w:t xml:space="preserve"> </w:t>
      </w:r>
      <w:r w:rsidR="00830210">
        <w:rPr>
          <w:sz w:val="22"/>
          <w:szCs w:val="22"/>
        </w:rPr>
        <w:t>will</w:t>
      </w:r>
      <w:r>
        <w:rPr>
          <w:sz w:val="22"/>
          <w:szCs w:val="22"/>
        </w:rPr>
        <w:t xml:space="preserve"> remain operative and in full force and effect and </w:t>
      </w:r>
      <w:r w:rsidR="00830210">
        <w:rPr>
          <w:sz w:val="22"/>
          <w:szCs w:val="22"/>
        </w:rPr>
        <w:t xml:space="preserve">will not </w:t>
      </w:r>
      <w:r>
        <w:rPr>
          <w:sz w:val="22"/>
          <w:szCs w:val="22"/>
        </w:rPr>
        <w:t xml:space="preserve">be affected, prejudiced, or disturbed thereby. </w:t>
      </w:r>
    </w:p>
    <w:p w14:paraId="0EB247AC" w14:textId="73166DA7" w:rsidR="00E23215" w:rsidRDefault="001D7B14" w:rsidP="00DB6B67">
      <w:pPr>
        <w:pStyle w:val="Def2Heading3"/>
        <w:numPr>
          <w:ilvl w:val="0"/>
          <w:numId w:val="9"/>
        </w:numPr>
        <w:spacing w:before="0" w:after="120"/>
        <w:ind w:left="0" w:firstLine="1418"/>
        <w:jc w:val="both"/>
        <w:rPr>
          <w:sz w:val="22"/>
          <w:szCs w:val="22"/>
        </w:rPr>
      </w:pPr>
      <w:r>
        <w:rPr>
          <w:sz w:val="22"/>
          <w:szCs w:val="22"/>
        </w:rPr>
        <w:t xml:space="preserve">All rights and obligations hereunder </w:t>
      </w:r>
      <w:r w:rsidR="00830210">
        <w:rPr>
          <w:sz w:val="22"/>
          <w:szCs w:val="22"/>
        </w:rPr>
        <w:t>will</w:t>
      </w:r>
      <w:r>
        <w:rPr>
          <w:sz w:val="22"/>
          <w:szCs w:val="22"/>
        </w:rPr>
        <w:t xml:space="preserve"> be governed by the laws of the State of </w:t>
      </w:r>
      <w:r w:rsidR="00815AAF">
        <w:rPr>
          <w:sz w:val="22"/>
          <w:szCs w:val="22"/>
        </w:rPr>
        <w:t>Israel</w:t>
      </w:r>
      <w:r>
        <w:rPr>
          <w:sz w:val="22"/>
          <w:szCs w:val="22"/>
        </w:rPr>
        <w:t xml:space="preserve">, without regard to the conflicts of law provisions of </w:t>
      </w:r>
      <w:r w:rsidR="00A35B16">
        <w:rPr>
          <w:sz w:val="22"/>
          <w:szCs w:val="22"/>
        </w:rPr>
        <w:t>such jurisdiction</w:t>
      </w:r>
      <w:r>
        <w:rPr>
          <w:sz w:val="22"/>
          <w:szCs w:val="22"/>
        </w:rPr>
        <w:t>.</w:t>
      </w:r>
      <w:r w:rsidR="002E26E3">
        <w:rPr>
          <w:sz w:val="22"/>
          <w:szCs w:val="22"/>
        </w:rPr>
        <w:t xml:space="preserve"> </w:t>
      </w:r>
      <w:r w:rsidR="002E26E3" w:rsidRPr="00531FB7">
        <w:rPr>
          <w:rFonts w:asciiTheme="majorBidi" w:eastAsia="Open Sans" w:hAnsiTheme="majorBidi" w:cstheme="majorBidi"/>
          <w:sz w:val="22"/>
          <w:szCs w:val="22"/>
        </w:rPr>
        <w:t xml:space="preserve">Any dispute arising under or in relation to </w:t>
      </w:r>
      <w:r w:rsidR="002E26E3" w:rsidRPr="00531FB7">
        <w:rPr>
          <w:rFonts w:asciiTheme="majorBidi" w:hAnsiTheme="majorBidi" w:cstheme="majorBidi"/>
          <w:sz w:val="22"/>
          <w:szCs w:val="22"/>
        </w:rPr>
        <w:t xml:space="preserve">this </w:t>
      </w:r>
      <w:r w:rsidR="002E26E3" w:rsidRPr="00531FB7">
        <w:rPr>
          <w:rFonts w:asciiTheme="majorBidi" w:eastAsia="Open Sans" w:hAnsiTheme="majorBidi" w:cstheme="majorBidi"/>
          <w:sz w:val="22"/>
          <w:szCs w:val="22"/>
        </w:rPr>
        <w:t xml:space="preserve">instrument shall </w:t>
      </w:r>
      <w:r w:rsidR="002E26E3" w:rsidRPr="00531FB7">
        <w:rPr>
          <w:rFonts w:asciiTheme="majorBidi" w:hAnsiTheme="majorBidi" w:cstheme="majorBidi"/>
          <w:sz w:val="22"/>
          <w:szCs w:val="22"/>
        </w:rPr>
        <w:t xml:space="preserve">be </w:t>
      </w:r>
      <w:r w:rsidR="002E26E3" w:rsidRPr="00531FB7">
        <w:rPr>
          <w:rFonts w:asciiTheme="majorBidi" w:eastAsia="Open Sans" w:hAnsiTheme="majorBidi" w:cstheme="majorBidi"/>
          <w:sz w:val="22"/>
          <w:szCs w:val="22"/>
        </w:rPr>
        <w:t>resolved in the competent courts situated in Tel Aviv, Israel</w:t>
      </w:r>
      <w:r w:rsidR="002E26E3" w:rsidRPr="00A30460">
        <w:rPr>
          <w:rFonts w:asciiTheme="majorBidi" w:hAnsiTheme="majorBidi"/>
          <w:sz w:val="22"/>
        </w:rPr>
        <w:t xml:space="preserve"> and </w:t>
      </w:r>
      <w:r w:rsidR="002E26E3" w:rsidRPr="00531FB7">
        <w:rPr>
          <w:rFonts w:asciiTheme="majorBidi" w:eastAsia="Open Sans" w:hAnsiTheme="majorBidi" w:cstheme="majorBidi"/>
          <w:sz w:val="22"/>
          <w:szCs w:val="22"/>
        </w:rPr>
        <w:t>each</w:t>
      </w:r>
      <w:r w:rsidR="002E26E3" w:rsidRPr="00531FB7">
        <w:rPr>
          <w:rFonts w:asciiTheme="majorBidi" w:hAnsiTheme="majorBidi" w:cstheme="majorBidi"/>
          <w:sz w:val="22"/>
          <w:szCs w:val="22"/>
        </w:rPr>
        <w:t xml:space="preserve"> of the </w:t>
      </w:r>
      <w:r w:rsidR="002E26E3" w:rsidRPr="00531FB7">
        <w:rPr>
          <w:rFonts w:asciiTheme="majorBidi" w:eastAsia="Open Sans" w:hAnsiTheme="majorBidi" w:cstheme="majorBidi"/>
          <w:sz w:val="22"/>
          <w:szCs w:val="22"/>
        </w:rPr>
        <w:t>Parties hereby submits irrevocably</w:t>
      </w:r>
      <w:r w:rsidR="002E26E3" w:rsidRPr="00531FB7">
        <w:rPr>
          <w:rFonts w:asciiTheme="majorBidi" w:hAnsiTheme="majorBidi" w:cstheme="majorBidi"/>
          <w:sz w:val="22"/>
          <w:szCs w:val="22"/>
        </w:rPr>
        <w:t xml:space="preserve"> to </w:t>
      </w:r>
      <w:r w:rsidR="002E26E3" w:rsidRPr="00531FB7">
        <w:rPr>
          <w:rFonts w:asciiTheme="majorBidi" w:eastAsia="Open Sans" w:hAnsiTheme="majorBidi" w:cstheme="majorBidi"/>
          <w:sz w:val="22"/>
          <w:szCs w:val="22"/>
        </w:rPr>
        <w:t>the exclusive jurisdiction of such courts</w:t>
      </w:r>
      <w:r w:rsidR="002E26E3">
        <w:rPr>
          <w:rFonts w:asciiTheme="majorBidi" w:eastAsia="Open Sans" w:hAnsiTheme="majorBidi" w:cstheme="majorBidi"/>
          <w:sz w:val="22"/>
          <w:szCs w:val="22"/>
        </w:rPr>
        <w:t>.</w:t>
      </w:r>
    </w:p>
    <w:p w14:paraId="68744DE0" w14:textId="3E79A2CB" w:rsidR="00E23215" w:rsidRDefault="00990B0B" w:rsidP="00DB6B67">
      <w:pPr>
        <w:pStyle w:val="Def2Heading3"/>
        <w:numPr>
          <w:ilvl w:val="0"/>
          <w:numId w:val="9"/>
        </w:numPr>
        <w:spacing w:before="0" w:after="120"/>
        <w:ind w:left="0" w:firstLine="1418"/>
        <w:jc w:val="both"/>
        <w:rPr>
          <w:sz w:val="22"/>
          <w:szCs w:val="22"/>
        </w:rPr>
      </w:pPr>
      <w:r w:rsidRPr="001543EE">
        <w:rPr>
          <w:rFonts w:asciiTheme="majorBidi" w:hAnsiTheme="majorBidi"/>
          <w:sz w:val="22"/>
        </w:rPr>
        <w:t xml:space="preserve">Each party shall bear its own expenses in connection with the transaction </w:t>
      </w:r>
      <w:r>
        <w:rPr>
          <w:rFonts w:asciiTheme="majorBidi" w:hAnsiTheme="majorBidi"/>
          <w:sz w:val="22"/>
        </w:rPr>
        <w:t>[</w:t>
      </w:r>
      <w:r w:rsidRPr="001543EE">
        <w:rPr>
          <w:rFonts w:asciiTheme="majorBidi" w:hAnsiTheme="majorBidi"/>
          <w:sz w:val="22"/>
        </w:rPr>
        <w:t>except that at the Company will reimburse the Investor for its legal fees and expenses in connection with the transaction contemplated hereunder in an amount not to exceed in the aggregate $</w:t>
      </w:r>
      <w:r w:rsidR="004905E0">
        <w:rPr>
          <w:rFonts w:asciiTheme="majorBidi" w:hAnsiTheme="majorBidi"/>
          <w:sz w:val="22"/>
        </w:rPr>
        <w:t>[_____]</w:t>
      </w:r>
      <w:r w:rsidRPr="001543EE">
        <w:rPr>
          <w:rFonts w:asciiTheme="majorBidi" w:hAnsiTheme="majorBidi"/>
          <w:sz w:val="22"/>
        </w:rPr>
        <w:t xml:space="preserve"> plus VAT. The Investor shall be entitled to deduct from the </w:t>
      </w:r>
      <w:r>
        <w:rPr>
          <w:rFonts w:asciiTheme="majorBidi" w:hAnsiTheme="majorBidi"/>
          <w:sz w:val="22"/>
        </w:rPr>
        <w:t>Purchase</w:t>
      </w:r>
      <w:r w:rsidRPr="001543EE">
        <w:rPr>
          <w:rFonts w:asciiTheme="majorBidi" w:hAnsiTheme="majorBidi"/>
          <w:sz w:val="22"/>
        </w:rPr>
        <w:t xml:space="preserve"> Amount such amount </w:t>
      </w:r>
      <w:r w:rsidR="00EE57BF">
        <w:rPr>
          <w:rFonts w:asciiTheme="majorBidi" w:hAnsiTheme="majorBidi"/>
          <w:sz w:val="22"/>
        </w:rPr>
        <w:t>which</w:t>
      </w:r>
      <w:r w:rsidR="00EE57BF" w:rsidRPr="001543EE">
        <w:rPr>
          <w:rFonts w:asciiTheme="majorBidi" w:hAnsiTheme="majorBidi"/>
          <w:sz w:val="22"/>
        </w:rPr>
        <w:t>,</w:t>
      </w:r>
      <w:r w:rsidRPr="001543EE">
        <w:rPr>
          <w:rFonts w:asciiTheme="majorBidi" w:hAnsiTheme="majorBidi"/>
          <w:sz w:val="22"/>
        </w:rPr>
        <w:t xml:space="preserve"> if so deducted</w:t>
      </w:r>
      <w:r w:rsidR="00EE57BF">
        <w:rPr>
          <w:rFonts w:asciiTheme="majorBidi" w:hAnsiTheme="majorBidi"/>
          <w:sz w:val="22"/>
        </w:rPr>
        <w:t>,</w:t>
      </w:r>
      <w:r w:rsidRPr="001543EE">
        <w:rPr>
          <w:rFonts w:asciiTheme="majorBidi" w:hAnsiTheme="majorBidi"/>
          <w:sz w:val="22"/>
        </w:rPr>
        <w:t xml:space="preserve"> shall be deemed to have been paid by the Company in accordance with this </w:t>
      </w:r>
      <w:r>
        <w:rPr>
          <w:rFonts w:asciiTheme="majorBidi" w:hAnsiTheme="majorBidi"/>
          <w:sz w:val="22"/>
        </w:rPr>
        <w:t>section</w:t>
      </w:r>
      <w:r>
        <w:rPr>
          <w:sz w:val="22"/>
          <w:szCs w:val="22"/>
        </w:rPr>
        <w:t>]</w:t>
      </w:r>
      <w:r>
        <w:rPr>
          <w:rStyle w:val="FootnoteReference"/>
          <w:sz w:val="22"/>
          <w:szCs w:val="22"/>
        </w:rPr>
        <w:footnoteReference w:id="23"/>
      </w:r>
      <w:r w:rsidR="007C0B6B" w:rsidRPr="00A87631">
        <w:rPr>
          <w:sz w:val="22"/>
          <w:szCs w:val="22"/>
        </w:rPr>
        <w:t>.</w:t>
      </w:r>
    </w:p>
    <w:p w14:paraId="2AB48737" w14:textId="5B671ACA" w:rsidR="006B0841" w:rsidRPr="006B0841" w:rsidRDefault="006B0841" w:rsidP="00DB6B67">
      <w:pPr>
        <w:pStyle w:val="Def2Heading3"/>
        <w:numPr>
          <w:ilvl w:val="0"/>
          <w:numId w:val="9"/>
        </w:numPr>
        <w:spacing w:before="0" w:after="120"/>
        <w:ind w:left="0" w:firstLine="1418"/>
        <w:jc w:val="both"/>
        <w:rPr>
          <w:rFonts w:asciiTheme="majorBidi" w:hAnsiTheme="majorBidi"/>
          <w:sz w:val="22"/>
        </w:rPr>
      </w:pPr>
      <w:r w:rsidRPr="006B0841">
        <w:rPr>
          <w:rFonts w:asciiTheme="majorBidi" w:hAnsiTheme="majorBidi"/>
          <w:sz w:val="22"/>
        </w:rPr>
        <w:t xml:space="preserve">The Investor agrees to keep all of the Company’s confidential and proprietary information strictly private and not to use such information for any purpose other than as expressly permitted by this </w:t>
      </w:r>
      <w:r>
        <w:rPr>
          <w:rFonts w:asciiTheme="majorBidi" w:hAnsiTheme="majorBidi"/>
          <w:sz w:val="22"/>
        </w:rPr>
        <w:t>SAFE</w:t>
      </w:r>
      <w:r w:rsidRPr="006B0841">
        <w:rPr>
          <w:rFonts w:asciiTheme="majorBidi" w:hAnsiTheme="majorBidi"/>
          <w:sz w:val="22"/>
        </w:rPr>
        <w:t xml:space="preserve">. This includes any business-related information not publicly known, such as financial details, customer lists, and marketing strategies. The Investor will not disclose or use this information for any purpose unless required by law or with the Company’s written permission. This obligation of confidentiality and non-use is without time limitation and shall </w:t>
      </w:r>
      <w:r>
        <w:rPr>
          <w:rFonts w:asciiTheme="majorBidi" w:hAnsiTheme="majorBidi"/>
          <w:sz w:val="22"/>
        </w:rPr>
        <w:t>survive after the termination of this SAFE for any reason.</w:t>
      </w:r>
    </w:p>
    <w:p w14:paraId="50DC73A6" w14:textId="77777777" w:rsidR="00E23215" w:rsidRDefault="001D7B14" w:rsidP="008C4B3F">
      <w:pPr>
        <w:autoSpaceDE w:val="0"/>
        <w:autoSpaceDN w:val="0"/>
        <w:adjustRightInd w:val="0"/>
        <w:spacing w:before="0" w:after="120"/>
        <w:ind w:firstLine="0"/>
        <w:jc w:val="center"/>
        <w:rPr>
          <w:sz w:val="22"/>
          <w:szCs w:val="22"/>
        </w:rPr>
      </w:pPr>
      <w:r>
        <w:rPr>
          <w:sz w:val="22"/>
          <w:szCs w:val="22"/>
        </w:rPr>
        <w:t>(</w:t>
      </w:r>
      <w:r>
        <w:rPr>
          <w:i/>
          <w:sz w:val="22"/>
          <w:szCs w:val="22"/>
        </w:rPr>
        <w:t>Signature page follows</w:t>
      </w:r>
      <w:r>
        <w:rPr>
          <w:sz w:val="22"/>
          <w:szCs w:val="22"/>
        </w:rPr>
        <w:t>)</w:t>
      </w:r>
    </w:p>
    <w:p w14:paraId="1D8E0C89" w14:textId="22B9D091" w:rsidR="00E23215" w:rsidRDefault="00E23215" w:rsidP="008C4B3F">
      <w:pPr>
        <w:autoSpaceDE w:val="0"/>
        <w:autoSpaceDN w:val="0"/>
        <w:adjustRightInd w:val="0"/>
        <w:spacing w:before="0" w:after="120"/>
        <w:ind w:firstLine="0"/>
        <w:rPr>
          <w:sz w:val="22"/>
          <w:szCs w:val="22"/>
        </w:rPr>
        <w:sectPr w:rsidR="00E23215" w:rsidSect="0055145B">
          <w:footerReference w:type="default" r:id="rId8"/>
          <w:pgSz w:w="12240" w:h="15840" w:code="1"/>
          <w:pgMar w:top="1276" w:right="1276" w:bottom="1276" w:left="1276" w:header="283" w:footer="936" w:gutter="0"/>
          <w:cols w:space="720"/>
          <w:titlePg/>
          <w:docGrid w:linePitch="360"/>
        </w:sectPr>
      </w:pPr>
    </w:p>
    <w:p w14:paraId="6D83B271" w14:textId="77777777" w:rsidR="00E23215" w:rsidRDefault="001D7B14" w:rsidP="008C4B3F">
      <w:pPr>
        <w:autoSpaceDE w:val="0"/>
        <w:autoSpaceDN w:val="0"/>
        <w:adjustRightInd w:val="0"/>
        <w:spacing w:before="0" w:after="120"/>
        <w:ind w:firstLine="0"/>
        <w:rPr>
          <w:sz w:val="22"/>
          <w:szCs w:val="22"/>
        </w:rPr>
      </w:pPr>
      <w:r>
        <w:rPr>
          <w:sz w:val="22"/>
          <w:szCs w:val="22"/>
        </w:rPr>
        <w:lastRenderedPageBreak/>
        <w:t>IN WITNESS WHEREOF, the under</w:t>
      </w:r>
      <w:r w:rsidR="00A11FD1">
        <w:rPr>
          <w:sz w:val="22"/>
          <w:szCs w:val="22"/>
        </w:rPr>
        <w:t>signed have</w:t>
      </w:r>
      <w:r>
        <w:rPr>
          <w:sz w:val="22"/>
          <w:szCs w:val="22"/>
        </w:rPr>
        <w:t xml:space="preserve"> </w:t>
      </w:r>
      <w:r w:rsidR="00253AA3">
        <w:rPr>
          <w:sz w:val="22"/>
          <w:szCs w:val="22"/>
        </w:rPr>
        <w:t>caused this instrument to be duly executed and delivered</w:t>
      </w:r>
      <w:r>
        <w:rPr>
          <w:sz w:val="22"/>
          <w:szCs w:val="22"/>
        </w:rPr>
        <w:t>.</w:t>
      </w:r>
    </w:p>
    <w:p w14:paraId="70618E9C" w14:textId="77777777" w:rsidR="008C4B3F" w:rsidRDefault="008C4B3F" w:rsidP="008C4B3F">
      <w:pPr>
        <w:autoSpaceDE w:val="0"/>
        <w:autoSpaceDN w:val="0"/>
        <w:adjustRightInd w:val="0"/>
        <w:spacing w:before="0" w:after="120"/>
        <w:ind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925"/>
      </w:tblGrid>
      <w:tr w:rsidR="008C4B3F" w14:paraId="3E57CED7" w14:textId="77777777" w:rsidTr="00EC4EE0">
        <w:tc>
          <w:tcPr>
            <w:tcW w:w="4952" w:type="dxa"/>
          </w:tcPr>
          <w:p w14:paraId="69A8F6B9" w14:textId="77777777" w:rsidR="008C4B3F" w:rsidRDefault="008C4B3F" w:rsidP="008C4B3F">
            <w:pPr>
              <w:autoSpaceDE w:val="0"/>
              <w:autoSpaceDN w:val="0"/>
              <w:adjustRightInd w:val="0"/>
              <w:spacing w:before="0" w:after="120"/>
              <w:ind w:firstLine="0"/>
              <w:rPr>
                <w:sz w:val="22"/>
                <w:szCs w:val="22"/>
              </w:rPr>
            </w:pPr>
          </w:p>
        </w:tc>
        <w:tc>
          <w:tcPr>
            <w:tcW w:w="4952" w:type="dxa"/>
          </w:tcPr>
          <w:p w14:paraId="120E0162" w14:textId="77777777" w:rsidR="008C4B3F" w:rsidRPr="008C4B3F" w:rsidRDefault="008C4B3F" w:rsidP="008C4B3F">
            <w:pPr>
              <w:autoSpaceDE w:val="0"/>
              <w:autoSpaceDN w:val="0"/>
              <w:adjustRightInd w:val="0"/>
              <w:spacing w:before="0" w:after="120"/>
              <w:ind w:firstLine="0"/>
              <w:rPr>
                <w:b/>
                <w:bCs/>
                <w:sz w:val="22"/>
                <w:szCs w:val="22"/>
              </w:rPr>
            </w:pPr>
            <w:r w:rsidRPr="008C4B3F">
              <w:rPr>
                <w:b/>
                <w:bCs/>
                <w:sz w:val="22"/>
                <w:szCs w:val="22"/>
              </w:rPr>
              <w:t>[COMPANY]</w:t>
            </w:r>
          </w:p>
        </w:tc>
      </w:tr>
      <w:tr w:rsidR="008C4B3F" w14:paraId="1FBC4740" w14:textId="77777777" w:rsidTr="00EC4EE0">
        <w:tc>
          <w:tcPr>
            <w:tcW w:w="4952" w:type="dxa"/>
          </w:tcPr>
          <w:p w14:paraId="49A6D776" w14:textId="77777777" w:rsidR="008C4B3F" w:rsidRDefault="008C4B3F" w:rsidP="008C4B3F">
            <w:pPr>
              <w:autoSpaceDE w:val="0"/>
              <w:autoSpaceDN w:val="0"/>
              <w:adjustRightInd w:val="0"/>
              <w:spacing w:before="0" w:after="120"/>
              <w:ind w:firstLine="0"/>
              <w:rPr>
                <w:sz w:val="22"/>
                <w:szCs w:val="22"/>
              </w:rPr>
            </w:pPr>
          </w:p>
        </w:tc>
        <w:tc>
          <w:tcPr>
            <w:tcW w:w="4952" w:type="dxa"/>
          </w:tcPr>
          <w:p w14:paraId="20A49D0A" w14:textId="77777777" w:rsidR="008C4B3F" w:rsidRDefault="008C4B3F" w:rsidP="008C4B3F">
            <w:pPr>
              <w:autoSpaceDE w:val="0"/>
              <w:autoSpaceDN w:val="0"/>
              <w:adjustRightInd w:val="0"/>
              <w:spacing w:before="0" w:after="120"/>
              <w:ind w:firstLine="0"/>
              <w:rPr>
                <w:sz w:val="22"/>
                <w:szCs w:val="22"/>
              </w:rPr>
            </w:pPr>
            <w:r>
              <w:rPr>
                <w:sz w:val="22"/>
                <w:szCs w:val="22"/>
              </w:rPr>
              <w:t>By: _____________________________________</w:t>
            </w:r>
          </w:p>
          <w:p w14:paraId="662953EF" w14:textId="77777777" w:rsidR="008C4B3F" w:rsidRDefault="008C4B3F" w:rsidP="008C4B3F">
            <w:pPr>
              <w:autoSpaceDE w:val="0"/>
              <w:autoSpaceDN w:val="0"/>
              <w:adjustRightInd w:val="0"/>
              <w:spacing w:before="0" w:after="120"/>
              <w:ind w:firstLine="0"/>
              <w:rPr>
                <w:sz w:val="22"/>
                <w:szCs w:val="22"/>
              </w:rPr>
            </w:pPr>
            <w:r>
              <w:rPr>
                <w:sz w:val="22"/>
                <w:szCs w:val="22"/>
              </w:rPr>
              <w:t>Name: ___________________________________</w:t>
            </w:r>
          </w:p>
          <w:p w14:paraId="5A85E6B7" w14:textId="77777777" w:rsidR="008C4B3F" w:rsidRDefault="008C4B3F" w:rsidP="008C4B3F">
            <w:pPr>
              <w:autoSpaceDE w:val="0"/>
              <w:autoSpaceDN w:val="0"/>
              <w:adjustRightInd w:val="0"/>
              <w:spacing w:before="0" w:after="120"/>
              <w:ind w:firstLine="0"/>
              <w:rPr>
                <w:sz w:val="22"/>
                <w:szCs w:val="22"/>
              </w:rPr>
            </w:pPr>
            <w:r>
              <w:rPr>
                <w:sz w:val="22"/>
                <w:szCs w:val="22"/>
              </w:rPr>
              <w:t>Title: ____________________________________</w:t>
            </w:r>
          </w:p>
          <w:p w14:paraId="5DF0F416" w14:textId="77777777" w:rsidR="008C4B3F" w:rsidRDefault="008C4B3F" w:rsidP="008C4B3F">
            <w:pPr>
              <w:autoSpaceDE w:val="0"/>
              <w:autoSpaceDN w:val="0"/>
              <w:adjustRightInd w:val="0"/>
              <w:spacing w:before="0" w:after="120"/>
              <w:ind w:firstLine="0"/>
              <w:rPr>
                <w:sz w:val="22"/>
                <w:szCs w:val="22"/>
              </w:rPr>
            </w:pPr>
          </w:p>
          <w:p w14:paraId="7FD0E8A0" w14:textId="77777777" w:rsidR="008C4B3F" w:rsidRDefault="008C4B3F" w:rsidP="008C4B3F">
            <w:pPr>
              <w:autoSpaceDE w:val="0"/>
              <w:autoSpaceDN w:val="0"/>
              <w:adjustRightInd w:val="0"/>
              <w:spacing w:before="0" w:after="120"/>
              <w:ind w:firstLine="0"/>
              <w:rPr>
                <w:sz w:val="22"/>
                <w:szCs w:val="22"/>
              </w:rPr>
            </w:pPr>
            <w:r>
              <w:rPr>
                <w:sz w:val="22"/>
                <w:szCs w:val="22"/>
              </w:rPr>
              <w:t>Address: _________________________________</w:t>
            </w:r>
          </w:p>
          <w:p w14:paraId="0C792CE7" w14:textId="77777777" w:rsidR="008C4B3F" w:rsidRDefault="008C4B3F" w:rsidP="008C4B3F">
            <w:pPr>
              <w:autoSpaceDE w:val="0"/>
              <w:autoSpaceDN w:val="0"/>
              <w:adjustRightInd w:val="0"/>
              <w:spacing w:before="0" w:after="120"/>
              <w:ind w:firstLine="0"/>
              <w:rPr>
                <w:sz w:val="22"/>
                <w:szCs w:val="22"/>
              </w:rPr>
            </w:pPr>
            <w:r>
              <w:rPr>
                <w:sz w:val="22"/>
                <w:szCs w:val="22"/>
              </w:rPr>
              <w:t>Email: ___________________________________</w:t>
            </w:r>
          </w:p>
        </w:tc>
      </w:tr>
      <w:tr w:rsidR="008C4B3F" w14:paraId="091EF5F3" w14:textId="77777777" w:rsidTr="00EC4EE0">
        <w:tc>
          <w:tcPr>
            <w:tcW w:w="4952" w:type="dxa"/>
          </w:tcPr>
          <w:p w14:paraId="150637F9" w14:textId="77777777" w:rsidR="008C4B3F" w:rsidRDefault="008C4B3F" w:rsidP="008C4B3F">
            <w:pPr>
              <w:autoSpaceDE w:val="0"/>
              <w:autoSpaceDN w:val="0"/>
              <w:adjustRightInd w:val="0"/>
              <w:spacing w:before="0" w:after="120"/>
              <w:ind w:firstLine="0"/>
              <w:rPr>
                <w:sz w:val="22"/>
                <w:szCs w:val="22"/>
              </w:rPr>
            </w:pPr>
          </w:p>
        </w:tc>
        <w:tc>
          <w:tcPr>
            <w:tcW w:w="4952" w:type="dxa"/>
          </w:tcPr>
          <w:p w14:paraId="2A9DF724" w14:textId="77777777" w:rsidR="008C4B3F" w:rsidRDefault="008C4B3F" w:rsidP="008C4B3F">
            <w:pPr>
              <w:autoSpaceDE w:val="0"/>
              <w:autoSpaceDN w:val="0"/>
              <w:adjustRightInd w:val="0"/>
              <w:spacing w:before="0" w:after="120"/>
              <w:ind w:firstLine="0"/>
              <w:rPr>
                <w:sz w:val="22"/>
                <w:szCs w:val="22"/>
              </w:rPr>
            </w:pPr>
          </w:p>
        </w:tc>
      </w:tr>
      <w:tr w:rsidR="008C4B3F" w14:paraId="08EC1A72" w14:textId="77777777" w:rsidTr="00EC4EE0">
        <w:tc>
          <w:tcPr>
            <w:tcW w:w="4952" w:type="dxa"/>
          </w:tcPr>
          <w:p w14:paraId="03CE24E7" w14:textId="77777777" w:rsidR="008C4B3F" w:rsidRDefault="008C4B3F" w:rsidP="008C4B3F">
            <w:pPr>
              <w:autoSpaceDE w:val="0"/>
              <w:autoSpaceDN w:val="0"/>
              <w:adjustRightInd w:val="0"/>
              <w:spacing w:before="0" w:after="120"/>
              <w:ind w:firstLine="0"/>
              <w:rPr>
                <w:sz w:val="22"/>
                <w:szCs w:val="22"/>
              </w:rPr>
            </w:pPr>
          </w:p>
        </w:tc>
        <w:tc>
          <w:tcPr>
            <w:tcW w:w="4952" w:type="dxa"/>
          </w:tcPr>
          <w:p w14:paraId="166A592F" w14:textId="77777777" w:rsidR="008C4B3F" w:rsidRDefault="008C4B3F" w:rsidP="008C4B3F">
            <w:pPr>
              <w:autoSpaceDE w:val="0"/>
              <w:autoSpaceDN w:val="0"/>
              <w:adjustRightInd w:val="0"/>
              <w:spacing w:before="0" w:after="120"/>
              <w:ind w:firstLine="0"/>
              <w:rPr>
                <w:sz w:val="22"/>
                <w:szCs w:val="22"/>
              </w:rPr>
            </w:pPr>
          </w:p>
        </w:tc>
      </w:tr>
      <w:tr w:rsidR="008C4B3F" w14:paraId="5AB39802" w14:textId="77777777" w:rsidTr="00EC4EE0">
        <w:tc>
          <w:tcPr>
            <w:tcW w:w="4952" w:type="dxa"/>
          </w:tcPr>
          <w:p w14:paraId="64BF4DFF" w14:textId="77777777" w:rsidR="008C4B3F" w:rsidRDefault="008C4B3F" w:rsidP="008C4B3F">
            <w:pPr>
              <w:autoSpaceDE w:val="0"/>
              <w:autoSpaceDN w:val="0"/>
              <w:adjustRightInd w:val="0"/>
              <w:spacing w:before="0" w:after="120"/>
              <w:ind w:firstLine="0"/>
              <w:rPr>
                <w:sz w:val="22"/>
                <w:szCs w:val="22"/>
              </w:rPr>
            </w:pPr>
          </w:p>
        </w:tc>
        <w:tc>
          <w:tcPr>
            <w:tcW w:w="4952" w:type="dxa"/>
          </w:tcPr>
          <w:p w14:paraId="1A200D86" w14:textId="77777777" w:rsidR="008C4B3F" w:rsidRPr="00EC4EE0" w:rsidRDefault="00EC4EE0" w:rsidP="008C4B3F">
            <w:pPr>
              <w:autoSpaceDE w:val="0"/>
              <w:autoSpaceDN w:val="0"/>
              <w:adjustRightInd w:val="0"/>
              <w:spacing w:before="0" w:after="120"/>
              <w:ind w:firstLine="0"/>
              <w:rPr>
                <w:b/>
                <w:bCs/>
                <w:sz w:val="22"/>
                <w:szCs w:val="22"/>
              </w:rPr>
            </w:pPr>
            <w:r w:rsidRPr="00EC4EE0">
              <w:rPr>
                <w:b/>
                <w:bCs/>
                <w:sz w:val="22"/>
                <w:szCs w:val="22"/>
              </w:rPr>
              <w:t>INVESTOR:</w:t>
            </w:r>
          </w:p>
        </w:tc>
      </w:tr>
      <w:tr w:rsidR="008C4B3F" w14:paraId="337E86FF" w14:textId="77777777" w:rsidTr="00EC4EE0">
        <w:tc>
          <w:tcPr>
            <w:tcW w:w="4952" w:type="dxa"/>
          </w:tcPr>
          <w:p w14:paraId="36DB65C2" w14:textId="77777777" w:rsidR="008C4B3F" w:rsidRDefault="008C4B3F" w:rsidP="008C4B3F">
            <w:pPr>
              <w:autoSpaceDE w:val="0"/>
              <w:autoSpaceDN w:val="0"/>
              <w:adjustRightInd w:val="0"/>
              <w:spacing w:before="0" w:after="120"/>
              <w:ind w:firstLine="0"/>
              <w:rPr>
                <w:sz w:val="22"/>
                <w:szCs w:val="22"/>
              </w:rPr>
            </w:pPr>
          </w:p>
        </w:tc>
        <w:tc>
          <w:tcPr>
            <w:tcW w:w="4952" w:type="dxa"/>
          </w:tcPr>
          <w:p w14:paraId="19DBA5EF" w14:textId="77777777" w:rsidR="00EC4EE0" w:rsidRDefault="00EC4EE0" w:rsidP="00EC4EE0">
            <w:pPr>
              <w:autoSpaceDE w:val="0"/>
              <w:autoSpaceDN w:val="0"/>
              <w:adjustRightInd w:val="0"/>
              <w:spacing w:before="0" w:after="120"/>
              <w:ind w:firstLine="0"/>
              <w:rPr>
                <w:sz w:val="22"/>
                <w:szCs w:val="22"/>
              </w:rPr>
            </w:pPr>
            <w:r>
              <w:rPr>
                <w:sz w:val="22"/>
                <w:szCs w:val="22"/>
              </w:rPr>
              <w:t>By: _____________________________________</w:t>
            </w:r>
          </w:p>
          <w:p w14:paraId="1A798F3A" w14:textId="77777777" w:rsidR="00EC4EE0" w:rsidRDefault="00EC4EE0" w:rsidP="00EC4EE0">
            <w:pPr>
              <w:autoSpaceDE w:val="0"/>
              <w:autoSpaceDN w:val="0"/>
              <w:adjustRightInd w:val="0"/>
              <w:spacing w:before="0" w:after="120"/>
              <w:ind w:firstLine="0"/>
              <w:rPr>
                <w:sz w:val="22"/>
                <w:szCs w:val="22"/>
              </w:rPr>
            </w:pPr>
            <w:r>
              <w:rPr>
                <w:sz w:val="22"/>
                <w:szCs w:val="22"/>
              </w:rPr>
              <w:t>Name: ___________________________________</w:t>
            </w:r>
          </w:p>
          <w:p w14:paraId="44786FE6" w14:textId="77777777" w:rsidR="00EC4EE0" w:rsidRDefault="00EC4EE0" w:rsidP="00EC4EE0">
            <w:pPr>
              <w:autoSpaceDE w:val="0"/>
              <w:autoSpaceDN w:val="0"/>
              <w:adjustRightInd w:val="0"/>
              <w:spacing w:before="0" w:after="120"/>
              <w:ind w:firstLine="0"/>
              <w:rPr>
                <w:sz w:val="22"/>
                <w:szCs w:val="22"/>
              </w:rPr>
            </w:pPr>
            <w:r>
              <w:rPr>
                <w:sz w:val="22"/>
                <w:szCs w:val="22"/>
              </w:rPr>
              <w:t>Title: ____________________________________</w:t>
            </w:r>
          </w:p>
          <w:p w14:paraId="5B699D80" w14:textId="77777777" w:rsidR="00EC4EE0" w:rsidRDefault="00EC4EE0" w:rsidP="00EC4EE0">
            <w:pPr>
              <w:autoSpaceDE w:val="0"/>
              <w:autoSpaceDN w:val="0"/>
              <w:adjustRightInd w:val="0"/>
              <w:spacing w:before="0" w:after="120"/>
              <w:ind w:firstLine="0"/>
              <w:rPr>
                <w:sz w:val="22"/>
                <w:szCs w:val="22"/>
              </w:rPr>
            </w:pPr>
          </w:p>
          <w:p w14:paraId="7DCC1442" w14:textId="77777777" w:rsidR="00EC4EE0" w:rsidRDefault="00EC4EE0" w:rsidP="00EC4EE0">
            <w:pPr>
              <w:autoSpaceDE w:val="0"/>
              <w:autoSpaceDN w:val="0"/>
              <w:adjustRightInd w:val="0"/>
              <w:spacing w:before="0" w:after="120"/>
              <w:ind w:firstLine="0"/>
              <w:rPr>
                <w:sz w:val="22"/>
                <w:szCs w:val="22"/>
              </w:rPr>
            </w:pPr>
            <w:r>
              <w:rPr>
                <w:sz w:val="22"/>
                <w:szCs w:val="22"/>
              </w:rPr>
              <w:t>Address: _________________________________</w:t>
            </w:r>
          </w:p>
          <w:p w14:paraId="1932233C" w14:textId="77777777" w:rsidR="008C4B3F" w:rsidRDefault="00EC4EE0" w:rsidP="00EC4EE0">
            <w:pPr>
              <w:autoSpaceDE w:val="0"/>
              <w:autoSpaceDN w:val="0"/>
              <w:adjustRightInd w:val="0"/>
              <w:spacing w:before="0" w:after="120"/>
              <w:ind w:firstLine="0"/>
              <w:rPr>
                <w:sz w:val="22"/>
                <w:szCs w:val="22"/>
              </w:rPr>
            </w:pPr>
            <w:r>
              <w:rPr>
                <w:sz w:val="22"/>
                <w:szCs w:val="22"/>
              </w:rPr>
              <w:t>Email: ___________________________________</w:t>
            </w:r>
          </w:p>
        </w:tc>
      </w:tr>
      <w:tr w:rsidR="008C4B3F" w14:paraId="1B06681B" w14:textId="77777777" w:rsidTr="00EC4EE0">
        <w:tc>
          <w:tcPr>
            <w:tcW w:w="4952" w:type="dxa"/>
          </w:tcPr>
          <w:p w14:paraId="180DA215" w14:textId="77777777" w:rsidR="008C4B3F" w:rsidRDefault="008C4B3F" w:rsidP="008C4B3F">
            <w:pPr>
              <w:autoSpaceDE w:val="0"/>
              <w:autoSpaceDN w:val="0"/>
              <w:adjustRightInd w:val="0"/>
              <w:spacing w:before="0" w:after="120"/>
              <w:ind w:firstLine="0"/>
              <w:rPr>
                <w:sz w:val="22"/>
                <w:szCs w:val="22"/>
              </w:rPr>
            </w:pPr>
          </w:p>
        </w:tc>
        <w:tc>
          <w:tcPr>
            <w:tcW w:w="4952" w:type="dxa"/>
          </w:tcPr>
          <w:p w14:paraId="5E0FB101" w14:textId="77777777" w:rsidR="008C4B3F" w:rsidRDefault="008C4B3F" w:rsidP="008C4B3F">
            <w:pPr>
              <w:autoSpaceDE w:val="0"/>
              <w:autoSpaceDN w:val="0"/>
              <w:adjustRightInd w:val="0"/>
              <w:spacing w:before="0" w:after="120"/>
              <w:ind w:firstLine="0"/>
              <w:rPr>
                <w:sz w:val="22"/>
                <w:szCs w:val="22"/>
              </w:rPr>
            </w:pPr>
          </w:p>
        </w:tc>
      </w:tr>
    </w:tbl>
    <w:p w14:paraId="5FD48722" w14:textId="77777777" w:rsidR="008C4B3F" w:rsidRDefault="008C4B3F" w:rsidP="008C4B3F">
      <w:pPr>
        <w:autoSpaceDE w:val="0"/>
        <w:autoSpaceDN w:val="0"/>
        <w:adjustRightInd w:val="0"/>
        <w:spacing w:before="0" w:after="120"/>
        <w:ind w:firstLine="0"/>
        <w:rPr>
          <w:sz w:val="22"/>
          <w:szCs w:val="22"/>
        </w:rPr>
      </w:pPr>
    </w:p>
    <w:p w14:paraId="77510D72" w14:textId="77777777" w:rsidR="008C4B3F" w:rsidRDefault="008C4B3F" w:rsidP="008C4B3F">
      <w:pPr>
        <w:autoSpaceDE w:val="0"/>
        <w:autoSpaceDN w:val="0"/>
        <w:adjustRightInd w:val="0"/>
        <w:spacing w:before="0" w:after="120"/>
        <w:ind w:left="4678" w:firstLine="0"/>
        <w:rPr>
          <w:sz w:val="22"/>
          <w:szCs w:val="22"/>
        </w:rPr>
      </w:pPr>
    </w:p>
    <w:p w14:paraId="7B7DD668" w14:textId="77777777" w:rsidR="00442117" w:rsidRDefault="00442117" w:rsidP="008C4B3F">
      <w:pPr>
        <w:spacing w:before="0" w:after="120"/>
        <w:rPr>
          <w:szCs w:val="22"/>
        </w:rPr>
      </w:pPr>
    </w:p>
    <w:sectPr w:rsidR="00442117" w:rsidSect="008C4B3F">
      <w:headerReference w:type="first" r:id="rId9"/>
      <w:pgSz w:w="12240" w:h="15840" w:code="1"/>
      <w:pgMar w:top="1276" w:right="1276" w:bottom="1276" w:left="1276" w:header="1247"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7BA8" w14:textId="77777777" w:rsidR="009A21AB" w:rsidRDefault="009A21AB">
      <w:r>
        <w:separator/>
      </w:r>
    </w:p>
  </w:endnote>
  <w:endnote w:type="continuationSeparator" w:id="0">
    <w:p w14:paraId="10B3136A" w14:textId="77777777" w:rsidR="009A21AB" w:rsidRDefault="009A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altName w:val="Calibri"/>
    <w:charset w:val="00"/>
    <w:family w:val="auto"/>
    <w:pitch w:val="variable"/>
    <w:sig w:usb0="20000A87" w:usb1="5000A1FF" w:usb2="00000000" w:usb3="00000000" w:csb0="000001B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0A2A" w14:textId="77777777" w:rsidR="00234BC8" w:rsidRPr="00EC4EE0" w:rsidRDefault="00234BC8" w:rsidP="00EC4EE0">
    <w:pPr>
      <w:pStyle w:val="Footer"/>
      <w:jc w:val="center"/>
      <w:rPr>
        <w:sz w:val="20"/>
        <w:szCs w:val="16"/>
      </w:rPr>
    </w:pPr>
    <w:r w:rsidRPr="00EC4EE0">
      <w:rPr>
        <w:rStyle w:val="PageNumber"/>
        <w:sz w:val="20"/>
        <w:szCs w:val="16"/>
        <w:lang w:eastAsia="en-US"/>
      </w:rPr>
      <w:fldChar w:fldCharType="begin"/>
    </w:r>
    <w:r w:rsidRPr="00EC4EE0">
      <w:rPr>
        <w:rStyle w:val="PageNumber"/>
        <w:sz w:val="20"/>
        <w:szCs w:val="16"/>
        <w:lang w:eastAsia="en-US"/>
      </w:rPr>
      <w:instrText xml:space="preserve"> PAGE </w:instrText>
    </w:r>
    <w:r w:rsidRPr="00EC4EE0">
      <w:rPr>
        <w:rStyle w:val="PageNumber"/>
        <w:sz w:val="20"/>
        <w:szCs w:val="16"/>
        <w:lang w:eastAsia="en-US"/>
      </w:rPr>
      <w:fldChar w:fldCharType="separate"/>
    </w:r>
    <w:r w:rsidR="004F3C8A" w:rsidRPr="00EC4EE0">
      <w:rPr>
        <w:rStyle w:val="PageNumber"/>
        <w:noProof/>
        <w:sz w:val="20"/>
        <w:szCs w:val="16"/>
        <w:lang w:eastAsia="en-US"/>
      </w:rPr>
      <w:t>6</w:t>
    </w:r>
    <w:r w:rsidRPr="00EC4EE0">
      <w:rPr>
        <w:rStyle w:val="PageNumber"/>
        <w:sz w:val="20"/>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BC17" w14:textId="77777777" w:rsidR="009A21AB" w:rsidRDefault="009A21AB">
      <w:r>
        <w:separator/>
      </w:r>
    </w:p>
  </w:footnote>
  <w:footnote w:type="continuationSeparator" w:id="0">
    <w:p w14:paraId="0C6A0D88" w14:textId="77777777" w:rsidR="009A21AB" w:rsidRDefault="009A21AB">
      <w:r>
        <w:continuationSeparator/>
      </w:r>
    </w:p>
  </w:footnote>
  <w:footnote w:id="1">
    <w:p w14:paraId="40452765" w14:textId="13EE0659" w:rsidR="00AF496C" w:rsidRDefault="00AF496C" w:rsidP="006C4A82">
      <w:pPr>
        <w:pStyle w:val="FootnoteText"/>
        <w:spacing w:before="0" w:after="0"/>
        <w:ind w:firstLine="0"/>
        <w:jc w:val="both"/>
      </w:pPr>
      <w:r w:rsidRPr="00AF496C">
        <w:rPr>
          <w:rStyle w:val="FootnoteReference"/>
          <w:sz w:val="20"/>
          <w:szCs w:val="16"/>
        </w:rPr>
        <w:footnoteRef/>
      </w:r>
      <w:r w:rsidRPr="00AF496C">
        <w:rPr>
          <w:sz w:val="20"/>
          <w:szCs w:val="16"/>
        </w:rPr>
        <w:t xml:space="preserve"> </w:t>
      </w:r>
      <w:bookmarkStart w:id="0" w:name="_Hlk139813908"/>
      <w:r w:rsidRPr="003C32C4">
        <w:rPr>
          <w:sz w:val="20"/>
          <w:szCs w:val="16"/>
        </w:rPr>
        <w:t xml:space="preserve">This </w:t>
      </w:r>
      <w:r w:rsidR="00FA6914">
        <w:rPr>
          <w:sz w:val="20"/>
          <w:szCs w:val="16"/>
        </w:rPr>
        <w:t>p</w:t>
      </w:r>
      <w:r w:rsidRPr="003C32C4">
        <w:rPr>
          <w:sz w:val="20"/>
          <w:szCs w:val="16"/>
        </w:rPr>
        <w:t xml:space="preserve">rovision is for the benefit of the </w:t>
      </w:r>
      <w:r w:rsidR="006C0092">
        <w:rPr>
          <w:sz w:val="20"/>
          <w:szCs w:val="16"/>
        </w:rPr>
        <w:t>I</w:t>
      </w:r>
      <w:r w:rsidR="006C0092" w:rsidRPr="003C32C4">
        <w:rPr>
          <w:sz w:val="20"/>
          <w:szCs w:val="16"/>
        </w:rPr>
        <w:t>nvestor</w:t>
      </w:r>
      <w:r w:rsidRPr="003C32C4">
        <w:rPr>
          <w:sz w:val="20"/>
          <w:szCs w:val="16"/>
        </w:rPr>
        <w:t xml:space="preserve">. If you represent the </w:t>
      </w:r>
      <w:r w:rsidR="006C0092">
        <w:rPr>
          <w:sz w:val="20"/>
          <w:szCs w:val="16"/>
        </w:rPr>
        <w:t>C</w:t>
      </w:r>
      <w:r w:rsidR="006C0092" w:rsidRPr="003C32C4">
        <w:rPr>
          <w:sz w:val="20"/>
          <w:szCs w:val="16"/>
        </w:rPr>
        <w:t>ompany</w:t>
      </w:r>
      <w:r w:rsidRPr="003C32C4">
        <w:rPr>
          <w:sz w:val="20"/>
          <w:szCs w:val="16"/>
        </w:rPr>
        <w:t xml:space="preserve">, you will prefer that the SAFE be automatically converted upon any equity financing without a threshold, in this case, please select </w:t>
      </w:r>
      <w:r>
        <w:rPr>
          <w:sz w:val="20"/>
          <w:szCs w:val="16"/>
        </w:rPr>
        <w:t>“</w:t>
      </w:r>
      <w:r w:rsidRPr="003C32C4">
        <w:rPr>
          <w:sz w:val="20"/>
          <w:szCs w:val="16"/>
        </w:rPr>
        <w:t>Equity Financing</w:t>
      </w:r>
      <w:r>
        <w:rPr>
          <w:sz w:val="20"/>
          <w:szCs w:val="16"/>
        </w:rPr>
        <w:t>”</w:t>
      </w:r>
      <w:r w:rsidRPr="003C32C4">
        <w:rPr>
          <w:sz w:val="20"/>
          <w:szCs w:val="16"/>
        </w:rPr>
        <w:t xml:space="preserve"> and remove </w:t>
      </w:r>
      <w:r>
        <w:rPr>
          <w:sz w:val="20"/>
          <w:szCs w:val="16"/>
        </w:rPr>
        <w:t>“</w:t>
      </w:r>
      <w:r w:rsidRPr="003C32C4">
        <w:rPr>
          <w:sz w:val="20"/>
          <w:szCs w:val="16"/>
        </w:rPr>
        <w:t>Qualified Financing</w:t>
      </w:r>
      <w:r>
        <w:rPr>
          <w:sz w:val="20"/>
          <w:szCs w:val="16"/>
        </w:rPr>
        <w:t>”</w:t>
      </w:r>
      <w:r w:rsidRPr="003C32C4">
        <w:rPr>
          <w:sz w:val="20"/>
          <w:szCs w:val="16"/>
        </w:rPr>
        <w:t xml:space="preserve">, </w:t>
      </w:r>
      <w:r>
        <w:rPr>
          <w:sz w:val="20"/>
          <w:szCs w:val="16"/>
        </w:rPr>
        <w:t>“</w:t>
      </w:r>
      <w:r w:rsidRPr="003C32C4">
        <w:rPr>
          <w:sz w:val="20"/>
          <w:szCs w:val="16"/>
        </w:rPr>
        <w:t>Non-Qualified Financing</w:t>
      </w:r>
      <w:r>
        <w:rPr>
          <w:sz w:val="20"/>
          <w:szCs w:val="16"/>
        </w:rPr>
        <w:t>”</w:t>
      </w:r>
      <w:r w:rsidRPr="003C32C4">
        <w:rPr>
          <w:sz w:val="20"/>
          <w:szCs w:val="16"/>
        </w:rPr>
        <w:t xml:space="preserve"> and </w:t>
      </w:r>
      <w:r>
        <w:rPr>
          <w:sz w:val="20"/>
          <w:szCs w:val="16"/>
        </w:rPr>
        <w:t>“</w:t>
      </w:r>
      <w:r w:rsidRPr="003C32C4">
        <w:rPr>
          <w:sz w:val="20"/>
          <w:szCs w:val="16"/>
        </w:rPr>
        <w:t>Maturity Conversion</w:t>
      </w:r>
      <w:r>
        <w:rPr>
          <w:sz w:val="20"/>
          <w:szCs w:val="16"/>
        </w:rPr>
        <w:t>”</w:t>
      </w:r>
      <w:r w:rsidRPr="003C32C4">
        <w:rPr>
          <w:sz w:val="20"/>
          <w:szCs w:val="16"/>
        </w:rPr>
        <w:t xml:space="preserve">. </w:t>
      </w:r>
      <w:bookmarkEnd w:id="0"/>
    </w:p>
  </w:footnote>
  <w:footnote w:id="2">
    <w:p w14:paraId="32E424C5" w14:textId="77777777" w:rsidR="00074597" w:rsidRPr="00C47B5F" w:rsidRDefault="00074597" w:rsidP="00C41CCF">
      <w:pPr>
        <w:pStyle w:val="FootnoteText"/>
        <w:tabs>
          <w:tab w:val="clear" w:pos="360"/>
          <w:tab w:val="left" w:pos="0"/>
        </w:tabs>
        <w:spacing w:before="0" w:after="0"/>
        <w:ind w:firstLine="0"/>
        <w:rPr>
          <w:sz w:val="20"/>
        </w:rPr>
      </w:pPr>
      <w:r w:rsidRPr="00C47B5F">
        <w:rPr>
          <w:rStyle w:val="FootnoteReference"/>
          <w:sz w:val="20"/>
        </w:rPr>
        <w:footnoteRef/>
      </w:r>
      <w:r w:rsidRPr="00C47B5F">
        <w:rPr>
          <w:sz w:val="20"/>
        </w:rPr>
        <w:t xml:space="preserve"> </w:t>
      </w:r>
      <w:r>
        <w:rPr>
          <w:sz w:val="20"/>
        </w:rPr>
        <w:t>Applicable</w:t>
      </w:r>
      <w:r w:rsidRPr="00C47B5F">
        <w:rPr>
          <w:sz w:val="20"/>
        </w:rPr>
        <w:t xml:space="preserve"> only </w:t>
      </w:r>
      <w:r>
        <w:rPr>
          <w:sz w:val="20"/>
        </w:rPr>
        <w:t>if</w:t>
      </w:r>
      <w:r w:rsidRPr="00C47B5F">
        <w:rPr>
          <w:sz w:val="20"/>
        </w:rPr>
        <w:t xml:space="preserve"> “Qualified Financing”</w:t>
      </w:r>
      <w:r>
        <w:rPr>
          <w:sz w:val="20"/>
        </w:rPr>
        <w:t xml:space="preserve"> option is selected</w:t>
      </w:r>
      <w:r w:rsidRPr="00C47B5F">
        <w:rPr>
          <w:sz w:val="20"/>
        </w:rPr>
        <w:t>.</w:t>
      </w:r>
    </w:p>
  </w:footnote>
  <w:footnote w:id="3">
    <w:p w14:paraId="75636BC3" w14:textId="074B594E" w:rsidR="00074597" w:rsidRPr="00C41CCF" w:rsidRDefault="00074597" w:rsidP="00C41CCF">
      <w:pPr>
        <w:pStyle w:val="FootnoteText"/>
        <w:spacing w:before="0" w:after="0"/>
        <w:ind w:firstLine="0"/>
        <w:jc w:val="both"/>
        <w:rPr>
          <w:sz w:val="20"/>
        </w:rPr>
      </w:pPr>
      <w:r w:rsidRPr="00C41CCF">
        <w:rPr>
          <w:rStyle w:val="FootnoteReference"/>
          <w:sz w:val="20"/>
        </w:rPr>
        <w:footnoteRef/>
      </w:r>
      <w:r w:rsidR="00C41CCF" w:rsidRPr="00C41CCF">
        <w:rPr>
          <w:sz w:val="20"/>
        </w:rPr>
        <w:t xml:space="preserve"> </w:t>
      </w:r>
      <w:r w:rsidR="008F39E1" w:rsidRPr="00C41CCF">
        <w:rPr>
          <w:sz w:val="20"/>
        </w:rPr>
        <w:t xml:space="preserve">This provision is for the benefit of the </w:t>
      </w:r>
      <w:r w:rsidR="00E03696">
        <w:rPr>
          <w:sz w:val="20"/>
        </w:rPr>
        <w:t>I</w:t>
      </w:r>
      <w:r w:rsidR="008F39E1" w:rsidRPr="00C41CCF">
        <w:rPr>
          <w:sz w:val="20"/>
        </w:rPr>
        <w:t xml:space="preserve">nvestor. If you represent the </w:t>
      </w:r>
      <w:r w:rsidR="00E03696">
        <w:rPr>
          <w:sz w:val="20"/>
        </w:rPr>
        <w:t>C</w:t>
      </w:r>
      <w:r w:rsidR="00E03696" w:rsidRPr="00C41CCF">
        <w:rPr>
          <w:sz w:val="20"/>
        </w:rPr>
        <w:t>ompany</w:t>
      </w:r>
      <w:r w:rsidR="008F39E1" w:rsidRPr="00C41CCF">
        <w:rPr>
          <w:sz w:val="20"/>
        </w:rPr>
        <w:t xml:space="preserve">, you will prefer the </w:t>
      </w:r>
      <w:r w:rsidR="00E03696">
        <w:rPr>
          <w:sz w:val="20"/>
        </w:rPr>
        <w:t>I</w:t>
      </w:r>
      <w:r w:rsidR="00E03696" w:rsidRPr="00C41CCF">
        <w:rPr>
          <w:sz w:val="20"/>
        </w:rPr>
        <w:t xml:space="preserve">nvestor </w:t>
      </w:r>
      <w:r w:rsidR="00E03696">
        <w:rPr>
          <w:sz w:val="20"/>
        </w:rPr>
        <w:t>to</w:t>
      </w:r>
      <w:r w:rsidR="00E03696" w:rsidRPr="00C41CCF">
        <w:rPr>
          <w:sz w:val="20"/>
        </w:rPr>
        <w:t xml:space="preserve"> </w:t>
      </w:r>
      <w:r w:rsidR="008F39E1" w:rsidRPr="00C41CCF">
        <w:rPr>
          <w:sz w:val="20"/>
        </w:rPr>
        <w:t xml:space="preserve">not have </w:t>
      </w:r>
      <w:r w:rsidR="00E03696">
        <w:rPr>
          <w:sz w:val="20"/>
        </w:rPr>
        <w:t>an additional right</w:t>
      </w:r>
      <w:r w:rsidR="008F39E1" w:rsidRPr="00C41CCF">
        <w:rPr>
          <w:sz w:val="20"/>
        </w:rPr>
        <w:t xml:space="preserve"> to convert the SAFE following </w:t>
      </w:r>
      <w:r w:rsidR="00E03696">
        <w:rPr>
          <w:sz w:val="20"/>
        </w:rPr>
        <w:t>the</w:t>
      </w:r>
      <w:r w:rsidR="00E03696" w:rsidRPr="00C41CCF">
        <w:rPr>
          <w:sz w:val="20"/>
        </w:rPr>
        <w:t xml:space="preserve"> </w:t>
      </w:r>
      <w:r w:rsidR="008F39E1" w:rsidRPr="00C41CCF">
        <w:rPr>
          <w:sz w:val="20"/>
        </w:rPr>
        <w:t xml:space="preserve">agreed term. Also, the interpretation of the ITA Guidelines is that a maturity conversion is not </w:t>
      </w:r>
      <w:r w:rsidR="00E03696">
        <w:rPr>
          <w:sz w:val="20"/>
        </w:rPr>
        <w:t>permitt</w:t>
      </w:r>
      <w:r w:rsidR="00E03696" w:rsidRPr="00C41CCF">
        <w:rPr>
          <w:sz w:val="20"/>
        </w:rPr>
        <w:t xml:space="preserve">ed </w:t>
      </w:r>
      <w:r w:rsidR="008F39E1" w:rsidRPr="00C41CCF">
        <w:rPr>
          <w:sz w:val="20"/>
        </w:rPr>
        <w:t xml:space="preserve">unless such </w:t>
      </w:r>
      <w:r w:rsidR="00732359" w:rsidRPr="00C41CCF">
        <w:rPr>
          <w:sz w:val="20"/>
        </w:rPr>
        <w:t xml:space="preserve">conversion is </w:t>
      </w:r>
      <w:r w:rsidR="00E03696">
        <w:rPr>
          <w:sz w:val="20"/>
        </w:rPr>
        <w:t>at</w:t>
      </w:r>
      <w:r w:rsidR="00E03696" w:rsidRPr="00C41CCF">
        <w:rPr>
          <w:sz w:val="20"/>
        </w:rPr>
        <w:t xml:space="preserve"> </w:t>
      </w:r>
      <w:r w:rsidR="00E03696">
        <w:rPr>
          <w:sz w:val="20"/>
        </w:rPr>
        <w:t>the</w:t>
      </w:r>
      <w:r w:rsidR="00E03696" w:rsidRPr="00C41CCF">
        <w:rPr>
          <w:sz w:val="20"/>
        </w:rPr>
        <w:t xml:space="preserve"> </w:t>
      </w:r>
      <w:r w:rsidR="00732359" w:rsidRPr="00C41CCF">
        <w:rPr>
          <w:bCs/>
          <w:sz w:val="20"/>
        </w:rPr>
        <w:t xml:space="preserve">price per share paid by investors for such type of </w:t>
      </w:r>
      <w:r w:rsidR="00732359" w:rsidRPr="00C41CCF">
        <w:rPr>
          <w:sz w:val="20"/>
        </w:rPr>
        <w:t>preferred shares at the last equity financing round consummated by the Company prior to such conversion</w:t>
      </w:r>
      <w:r w:rsidRPr="00C41CCF">
        <w:rPr>
          <w:sz w:val="20"/>
        </w:rPr>
        <w:t>.</w:t>
      </w:r>
    </w:p>
  </w:footnote>
  <w:footnote w:id="4">
    <w:p w14:paraId="3EF69808" w14:textId="53CE72C7" w:rsidR="005E30B1" w:rsidRPr="00C41CCF" w:rsidRDefault="005E30B1" w:rsidP="00C41CCF">
      <w:pPr>
        <w:pStyle w:val="FootnoteText"/>
        <w:spacing w:before="0" w:after="0"/>
        <w:ind w:firstLine="0"/>
        <w:rPr>
          <w:sz w:val="20"/>
        </w:rPr>
      </w:pPr>
      <w:r w:rsidRPr="00C41CCF">
        <w:rPr>
          <w:rStyle w:val="FootnoteReference"/>
          <w:sz w:val="20"/>
        </w:rPr>
        <w:footnoteRef/>
      </w:r>
      <w:r w:rsidRPr="00C41CCF">
        <w:rPr>
          <w:sz w:val="20"/>
        </w:rPr>
        <w:t xml:space="preserve"> This provision is for the benefit of the </w:t>
      </w:r>
      <w:r w:rsidR="009F1D7A">
        <w:rPr>
          <w:sz w:val="20"/>
        </w:rPr>
        <w:t>I</w:t>
      </w:r>
      <w:r w:rsidR="009F1D7A" w:rsidRPr="00C41CCF">
        <w:rPr>
          <w:sz w:val="20"/>
        </w:rPr>
        <w:t>nvestor</w:t>
      </w:r>
      <w:r w:rsidR="00DD163A" w:rsidRPr="00C41CCF">
        <w:rPr>
          <w:sz w:val="20"/>
        </w:rPr>
        <w:t xml:space="preserve">, if you represent the </w:t>
      </w:r>
      <w:r w:rsidR="009F1D7A">
        <w:rPr>
          <w:sz w:val="20"/>
        </w:rPr>
        <w:t>I</w:t>
      </w:r>
      <w:r w:rsidR="009F1D7A" w:rsidRPr="00C41CCF">
        <w:rPr>
          <w:sz w:val="20"/>
        </w:rPr>
        <w:t xml:space="preserve">nvestor </w:t>
      </w:r>
      <w:r w:rsidR="00DD163A" w:rsidRPr="00C41CCF">
        <w:rPr>
          <w:sz w:val="20"/>
        </w:rPr>
        <w:t>remove the alternative wording.</w:t>
      </w:r>
    </w:p>
  </w:footnote>
  <w:footnote w:id="5">
    <w:p w14:paraId="0D343A7D" w14:textId="0DDA9183" w:rsidR="009671A9" w:rsidRPr="00B22500" w:rsidRDefault="009671A9" w:rsidP="00B22500">
      <w:pPr>
        <w:pStyle w:val="FootnoteText"/>
        <w:tabs>
          <w:tab w:val="clear" w:pos="360"/>
        </w:tabs>
        <w:ind w:firstLine="0"/>
        <w:contextualSpacing/>
        <w:rPr>
          <w:sz w:val="20"/>
        </w:rPr>
      </w:pPr>
      <w:r w:rsidRPr="00B22500">
        <w:rPr>
          <w:rStyle w:val="FootnoteReference"/>
          <w:sz w:val="20"/>
        </w:rPr>
        <w:footnoteRef/>
      </w:r>
      <w:r w:rsidRPr="00B22500">
        <w:rPr>
          <w:sz w:val="20"/>
        </w:rPr>
        <w:t xml:space="preserve"> This provision is for the benefit of the Company, if you represent the Company remove the alternative wording.</w:t>
      </w:r>
    </w:p>
  </w:footnote>
  <w:footnote w:id="6">
    <w:p w14:paraId="2F8252EF" w14:textId="1BBC36B7" w:rsidR="009671A9" w:rsidRPr="00B22500" w:rsidRDefault="009671A9" w:rsidP="00B22500">
      <w:pPr>
        <w:pStyle w:val="FootnoteText"/>
        <w:tabs>
          <w:tab w:val="clear" w:pos="360"/>
        </w:tabs>
        <w:ind w:firstLine="0"/>
        <w:jc w:val="both"/>
        <w:rPr>
          <w:sz w:val="20"/>
        </w:rPr>
      </w:pPr>
      <w:r w:rsidRPr="00B22500">
        <w:rPr>
          <w:rStyle w:val="FootnoteReference"/>
          <w:sz w:val="20"/>
        </w:rPr>
        <w:footnoteRef/>
      </w:r>
      <w:r w:rsidRPr="00B22500">
        <w:rPr>
          <w:sz w:val="20"/>
        </w:rPr>
        <w:t xml:space="preserve"> </w:t>
      </w:r>
      <w:r w:rsidR="00606436" w:rsidRPr="00B22500">
        <w:rPr>
          <w:sz w:val="20"/>
        </w:rPr>
        <w:t>This provision pertains to a Change of Control transaction. You could include language to specify the conversion terms in the event of an IPO. This would involve addressing the underwriting fees and expenses related to the IPO, as well as outlining the method for calculating the IPO's share price for the purpose of the SAFE conversion</w:t>
      </w:r>
      <w:r w:rsidRPr="00B22500">
        <w:rPr>
          <w:sz w:val="20"/>
          <w:lang w:bidi="he-IL"/>
        </w:rPr>
        <w:t>.</w:t>
      </w:r>
      <w:r w:rsidRPr="00B22500">
        <w:rPr>
          <w:sz w:val="20"/>
        </w:rPr>
        <w:t xml:space="preserve">    </w:t>
      </w:r>
    </w:p>
  </w:footnote>
  <w:footnote w:id="7">
    <w:p w14:paraId="7E7A09F3" w14:textId="6A47CD99" w:rsidR="00DD163A" w:rsidRPr="00C41CCF" w:rsidRDefault="00DD163A" w:rsidP="00C41CCF">
      <w:pPr>
        <w:pStyle w:val="FootnoteText"/>
        <w:spacing w:before="0" w:after="0"/>
        <w:ind w:firstLine="0"/>
        <w:rPr>
          <w:sz w:val="20"/>
        </w:rPr>
      </w:pPr>
    </w:p>
  </w:footnote>
  <w:footnote w:id="8">
    <w:p w14:paraId="4ABDA878" w14:textId="3F5EB098" w:rsidR="00364156" w:rsidRPr="00C41CCF" w:rsidRDefault="00364156" w:rsidP="00C41CCF">
      <w:pPr>
        <w:pStyle w:val="FootnoteText"/>
        <w:spacing w:before="0" w:after="0"/>
        <w:ind w:firstLine="0"/>
        <w:jc w:val="both"/>
        <w:rPr>
          <w:sz w:val="20"/>
        </w:rPr>
      </w:pPr>
      <w:r w:rsidRPr="00C41CCF">
        <w:rPr>
          <w:rStyle w:val="FootnoteReference"/>
          <w:sz w:val="20"/>
        </w:rPr>
        <w:footnoteRef/>
      </w:r>
      <w:r w:rsidRPr="00C41CCF">
        <w:rPr>
          <w:sz w:val="20"/>
        </w:rPr>
        <w:t xml:space="preserve"> For Post Money Valuation Cap. To be removed for Pre Money-Valuation Cap including the definition of Converting Securities.</w:t>
      </w:r>
    </w:p>
  </w:footnote>
  <w:footnote w:id="9">
    <w:p w14:paraId="5DF199DD" w14:textId="501089DD" w:rsidR="00364156" w:rsidRPr="00C41CCF" w:rsidRDefault="00364156" w:rsidP="00C41CCF">
      <w:pPr>
        <w:pStyle w:val="FootnoteText"/>
        <w:spacing w:before="0" w:after="0"/>
        <w:ind w:firstLine="0"/>
        <w:jc w:val="both"/>
        <w:rPr>
          <w:sz w:val="20"/>
        </w:rPr>
      </w:pPr>
      <w:r w:rsidRPr="00C41CCF">
        <w:rPr>
          <w:rStyle w:val="FootnoteReference"/>
          <w:sz w:val="20"/>
        </w:rPr>
        <w:footnoteRef/>
      </w:r>
      <w:r w:rsidRPr="00C41CCF">
        <w:rPr>
          <w:sz w:val="20"/>
        </w:rPr>
        <w:t xml:space="preserve"> For Pre Money Valuation Cap. To be removed for Post Money-Valuation Cap.</w:t>
      </w:r>
    </w:p>
  </w:footnote>
  <w:footnote w:id="10">
    <w:p w14:paraId="038E8BBB" w14:textId="0D379016" w:rsidR="000E24DA" w:rsidRPr="004625A3" w:rsidRDefault="000E24DA" w:rsidP="004625A3">
      <w:pPr>
        <w:pStyle w:val="FootnoteText"/>
        <w:spacing w:before="0" w:after="0"/>
        <w:ind w:firstLine="0"/>
        <w:jc w:val="both"/>
        <w:rPr>
          <w:sz w:val="20"/>
          <w:lang w:bidi="he-IL"/>
        </w:rPr>
      </w:pPr>
      <w:r w:rsidRPr="000E24DA">
        <w:rPr>
          <w:rStyle w:val="FootnoteReference"/>
          <w:sz w:val="20"/>
          <w:szCs w:val="16"/>
        </w:rPr>
        <w:footnoteRef/>
      </w:r>
      <w:r w:rsidRPr="000E24DA">
        <w:rPr>
          <w:sz w:val="20"/>
          <w:szCs w:val="16"/>
        </w:rPr>
        <w:t xml:space="preserve"> This provision is for the benefit of the </w:t>
      </w:r>
      <w:r w:rsidR="006035B1">
        <w:rPr>
          <w:sz w:val="20"/>
          <w:szCs w:val="16"/>
        </w:rPr>
        <w:t>C</w:t>
      </w:r>
      <w:r w:rsidR="006035B1" w:rsidRPr="000E24DA">
        <w:rPr>
          <w:sz w:val="20"/>
          <w:szCs w:val="16"/>
        </w:rPr>
        <w:t>ompany</w:t>
      </w:r>
      <w:r w:rsidRPr="000E24DA">
        <w:rPr>
          <w:sz w:val="20"/>
          <w:szCs w:val="16"/>
        </w:rPr>
        <w:t>.</w:t>
      </w:r>
      <w:r w:rsidR="00E40BB9">
        <w:rPr>
          <w:sz w:val="20"/>
          <w:szCs w:val="16"/>
        </w:rPr>
        <w:t xml:space="preserve"> </w:t>
      </w:r>
      <w:r w:rsidR="00E40BB9" w:rsidRPr="00E40BB9">
        <w:rPr>
          <w:sz w:val="20"/>
          <w:szCs w:val="16"/>
        </w:rPr>
        <w:t xml:space="preserve">It aims to address a potential scenario that may arise when the </w:t>
      </w:r>
      <w:r w:rsidR="006035B1">
        <w:rPr>
          <w:sz w:val="20"/>
          <w:szCs w:val="16"/>
        </w:rPr>
        <w:t>C</w:t>
      </w:r>
      <w:r w:rsidR="006035B1" w:rsidRPr="00E40BB9">
        <w:rPr>
          <w:sz w:val="20"/>
          <w:szCs w:val="16"/>
        </w:rPr>
        <w:t xml:space="preserve">ompany </w:t>
      </w:r>
      <w:r w:rsidR="00E40BB9" w:rsidRPr="00E40BB9">
        <w:rPr>
          <w:sz w:val="20"/>
          <w:szCs w:val="16"/>
        </w:rPr>
        <w:t xml:space="preserve">offers a discount on the price per share of the shares sold in a financing round. Such a situation </w:t>
      </w:r>
      <w:r w:rsidR="00722A82">
        <w:rPr>
          <w:sz w:val="20"/>
          <w:szCs w:val="16"/>
        </w:rPr>
        <w:t>will</w:t>
      </w:r>
      <w:r w:rsidR="00E40BB9" w:rsidRPr="00E40BB9">
        <w:rPr>
          <w:sz w:val="20"/>
          <w:szCs w:val="16"/>
        </w:rPr>
        <w:t xml:space="preserve"> result in the SAFE investors receiving a lower price per share than the price per share set in the </w:t>
      </w:r>
      <w:r w:rsidR="00722A82">
        <w:rPr>
          <w:sz w:val="20"/>
          <w:szCs w:val="16"/>
        </w:rPr>
        <w:t>Equity Financing</w:t>
      </w:r>
      <w:r w:rsidR="00E40BB9" w:rsidRPr="00E40BB9">
        <w:rPr>
          <w:sz w:val="20"/>
          <w:szCs w:val="16"/>
        </w:rPr>
        <w:t xml:space="preserve">. Consequently, this may </w:t>
      </w:r>
      <w:r w:rsidR="00E40BB9" w:rsidRPr="004625A3">
        <w:rPr>
          <w:sz w:val="20"/>
        </w:rPr>
        <w:t>trigger the anti-dilution protection provisions</w:t>
      </w:r>
      <w:r w:rsidR="00722A82">
        <w:rPr>
          <w:sz w:val="20"/>
        </w:rPr>
        <w:t xml:space="preserve"> although the price per share of the Equity Financing result</w:t>
      </w:r>
      <w:r w:rsidR="006035B1">
        <w:rPr>
          <w:sz w:val="20"/>
        </w:rPr>
        <w:t>s in</w:t>
      </w:r>
      <w:r w:rsidR="00722A82">
        <w:rPr>
          <w:sz w:val="20"/>
        </w:rPr>
        <w:t xml:space="preserve"> a flat round or up round</w:t>
      </w:r>
      <w:r w:rsidR="00E40BB9" w:rsidRPr="004625A3">
        <w:rPr>
          <w:sz w:val="20"/>
        </w:rPr>
        <w:t>.</w:t>
      </w:r>
      <w:r w:rsidR="00E40BB9" w:rsidRPr="004625A3">
        <w:rPr>
          <w:sz w:val="20"/>
          <w:lang w:bidi="he-IL"/>
        </w:rPr>
        <w:t xml:space="preserve"> If you represent the </w:t>
      </w:r>
      <w:r w:rsidR="006035B1">
        <w:rPr>
          <w:sz w:val="20"/>
          <w:lang w:bidi="he-IL"/>
        </w:rPr>
        <w:t>C</w:t>
      </w:r>
      <w:r w:rsidR="006035B1" w:rsidRPr="004625A3">
        <w:rPr>
          <w:sz w:val="20"/>
          <w:lang w:bidi="he-IL"/>
        </w:rPr>
        <w:t>ompany</w:t>
      </w:r>
      <w:r w:rsidR="00E40BB9" w:rsidRPr="004625A3">
        <w:rPr>
          <w:sz w:val="20"/>
          <w:lang w:bidi="he-IL"/>
        </w:rPr>
        <w:t>, consider adding this Section to avoid this scenario.</w:t>
      </w:r>
    </w:p>
  </w:footnote>
  <w:footnote w:id="11">
    <w:p w14:paraId="0E933351" w14:textId="7B31C47B" w:rsidR="00FA6914" w:rsidRPr="004625A3" w:rsidRDefault="00FA6914" w:rsidP="004625A3">
      <w:pPr>
        <w:pStyle w:val="FootnoteText"/>
        <w:spacing w:before="0" w:after="0"/>
        <w:ind w:firstLine="0"/>
        <w:jc w:val="both"/>
        <w:rPr>
          <w:sz w:val="20"/>
        </w:rPr>
      </w:pPr>
      <w:r w:rsidRPr="004625A3">
        <w:rPr>
          <w:rStyle w:val="FootnoteReference"/>
          <w:sz w:val="20"/>
        </w:rPr>
        <w:footnoteRef/>
      </w:r>
      <w:r w:rsidRPr="004625A3">
        <w:rPr>
          <w:sz w:val="20"/>
        </w:rPr>
        <w:t xml:space="preserve"> This provision is for the benefit of the </w:t>
      </w:r>
      <w:r w:rsidR="00D36F90">
        <w:rPr>
          <w:sz w:val="20"/>
        </w:rPr>
        <w:t>I</w:t>
      </w:r>
      <w:r w:rsidR="00D36F90" w:rsidRPr="004625A3">
        <w:rPr>
          <w:sz w:val="20"/>
        </w:rPr>
        <w:t>nvestor</w:t>
      </w:r>
      <w:r w:rsidR="000C221A" w:rsidRPr="004625A3">
        <w:rPr>
          <w:sz w:val="20"/>
        </w:rPr>
        <w:t xml:space="preserve">. If you represent the </w:t>
      </w:r>
      <w:r w:rsidR="00D36F90">
        <w:rPr>
          <w:sz w:val="20"/>
        </w:rPr>
        <w:t>C</w:t>
      </w:r>
      <w:r w:rsidR="00D36F90" w:rsidRPr="004625A3">
        <w:rPr>
          <w:sz w:val="20"/>
        </w:rPr>
        <w:t>ompany</w:t>
      </w:r>
      <w:r w:rsidR="000C221A" w:rsidRPr="004625A3">
        <w:rPr>
          <w:sz w:val="20"/>
        </w:rPr>
        <w:t>, you will prefer</w:t>
      </w:r>
      <w:r w:rsidR="00566EC9" w:rsidRPr="004625A3">
        <w:rPr>
          <w:sz w:val="20"/>
        </w:rPr>
        <w:t xml:space="preserve"> to remove this Section. </w:t>
      </w:r>
    </w:p>
  </w:footnote>
  <w:footnote w:id="12">
    <w:p w14:paraId="137D274F" w14:textId="129DEED9" w:rsidR="00B33464" w:rsidRPr="00B33464" w:rsidRDefault="00B33464" w:rsidP="00B33464">
      <w:pPr>
        <w:pStyle w:val="FootnoteText"/>
        <w:tabs>
          <w:tab w:val="clear" w:pos="360"/>
        </w:tabs>
        <w:spacing w:before="0" w:after="0"/>
        <w:ind w:firstLine="0"/>
        <w:rPr>
          <w:sz w:val="20"/>
        </w:rPr>
      </w:pPr>
      <w:r w:rsidRPr="00B33464">
        <w:rPr>
          <w:rStyle w:val="FootnoteReference"/>
          <w:sz w:val="20"/>
        </w:rPr>
        <w:footnoteRef/>
      </w:r>
      <w:r w:rsidRPr="00B33464">
        <w:rPr>
          <w:sz w:val="20"/>
        </w:rPr>
        <w:t xml:space="preserve"> For Pre Money Valuation Cap. To be removed for Post Money-Valuation Cap.</w:t>
      </w:r>
    </w:p>
  </w:footnote>
  <w:footnote w:id="13">
    <w:p w14:paraId="34598165" w14:textId="18BE7CD4" w:rsidR="00B33464" w:rsidRPr="00B33464" w:rsidRDefault="00B33464" w:rsidP="00B33464">
      <w:pPr>
        <w:pStyle w:val="FootnoteText"/>
        <w:tabs>
          <w:tab w:val="clear" w:pos="360"/>
        </w:tabs>
        <w:spacing w:before="0" w:after="0"/>
        <w:ind w:firstLine="0"/>
        <w:rPr>
          <w:rStyle w:val="FootnoteReference"/>
          <w:sz w:val="20"/>
        </w:rPr>
      </w:pPr>
      <w:r w:rsidRPr="00B33464">
        <w:rPr>
          <w:rStyle w:val="FootnoteReference"/>
          <w:sz w:val="20"/>
        </w:rPr>
        <w:footnoteRef/>
      </w:r>
      <w:r w:rsidRPr="00B33464">
        <w:rPr>
          <w:rStyle w:val="FootnoteReference"/>
          <w:sz w:val="20"/>
        </w:rPr>
        <w:t xml:space="preserve"> </w:t>
      </w:r>
      <w:r w:rsidRPr="00B33464">
        <w:rPr>
          <w:sz w:val="20"/>
        </w:rPr>
        <w:t>For P</w:t>
      </w:r>
      <w:r>
        <w:rPr>
          <w:sz w:val="20"/>
        </w:rPr>
        <w:t xml:space="preserve">ost </w:t>
      </w:r>
      <w:r w:rsidRPr="00B33464">
        <w:rPr>
          <w:sz w:val="20"/>
        </w:rPr>
        <w:t>Money Valuation Cap. To be removed for P</w:t>
      </w:r>
      <w:r>
        <w:rPr>
          <w:sz w:val="20"/>
        </w:rPr>
        <w:t>re</w:t>
      </w:r>
      <w:r w:rsidRPr="00B33464">
        <w:rPr>
          <w:sz w:val="20"/>
        </w:rPr>
        <w:t xml:space="preserve"> Money-Valuation Cap.</w:t>
      </w:r>
    </w:p>
  </w:footnote>
  <w:footnote w:id="14">
    <w:p w14:paraId="1EDF73EB" w14:textId="77777777" w:rsidR="00AB42DD" w:rsidRDefault="00AB42DD" w:rsidP="00B22500">
      <w:pPr>
        <w:pStyle w:val="FootnoteText"/>
        <w:tabs>
          <w:tab w:val="clear" w:pos="360"/>
        </w:tabs>
        <w:spacing w:before="0" w:after="0"/>
        <w:ind w:firstLine="0"/>
      </w:pPr>
      <w:r w:rsidRPr="004B4574">
        <w:rPr>
          <w:rStyle w:val="FootnoteReference"/>
          <w:sz w:val="20"/>
          <w:szCs w:val="16"/>
        </w:rPr>
        <w:footnoteRef/>
      </w:r>
      <w:r w:rsidRPr="004B4574">
        <w:rPr>
          <w:sz w:val="20"/>
          <w:szCs w:val="16"/>
        </w:rPr>
        <w:t xml:space="preserve"> Applicable </w:t>
      </w:r>
      <w:r w:rsidRPr="00D9298B">
        <w:rPr>
          <w:sz w:val="20"/>
          <w:szCs w:val="16"/>
        </w:rPr>
        <w:t>only if “</w:t>
      </w:r>
      <w:r>
        <w:rPr>
          <w:sz w:val="20"/>
          <w:szCs w:val="16"/>
        </w:rPr>
        <w:t>Qualified Financing</w:t>
      </w:r>
      <w:r w:rsidRPr="00D9298B">
        <w:rPr>
          <w:sz w:val="20"/>
          <w:szCs w:val="16"/>
        </w:rPr>
        <w:t>” option is selected.</w:t>
      </w:r>
    </w:p>
  </w:footnote>
  <w:footnote w:id="15">
    <w:p w14:paraId="2D650FDD" w14:textId="77777777" w:rsidR="00D9298B" w:rsidRPr="00D9298B" w:rsidRDefault="00D9298B" w:rsidP="00B22500">
      <w:pPr>
        <w:pStyle w:val="FootnoteText"/>
        <w:spacing w:before="0" w:after="0"/>
        <w:ind w:firstLine="0"/>
        <w:jc w:val="both"/>
        <w:rPr>
          <w:sz w:val="20"/>
          <w:szCs w:val="16"/>
        </w:rPr>
      </w:pPr>
      <w:r w:rsidRPr="00D9298B">
        <w:rPr>
          <w:rStyle w:val="FootnoteReference"/>
          <w:sz w:val="20"/>
          <w:szCs w:val="16"/>
        </w:rPr>
        <w:footnoteRef/>
      </w:r>
      <w:r w:rsidRPr="00D9298B">
        <w:rPr>
          <w:sz w:val="20"/>
          <w:szCs w:val="16"/>
        </w:rPr>
        <w:t xml:space="preserve"> Applicable only if “Pro Rata Rights Agreement” option is selected.</w:t>
      </w:r>
    </w:p>
  </w:footnote>
  <w:footnote w:id="16">
    <w:p w14:paraId="22A96A36" w14:textId="77777777" w:rsidR="00791B77" w:rsidRDefault="00791B77" w:rsidP="00791B77">
      <w:pPr>
        <w:pStyle w:val="FootnoteText"/>
        <w:spacing w:before="0" w:after="0"/>
        <w:ind w:firstLine="0"/>
        <w:jc w:val="both"/>
      </w:pPr>
      <w:r w:rsidRPr="00C41CCF">
        <w:rPr>
          <w:rStyle w:val="FootnoteReference"/>
          <w:sz w:val="20"/>
          <w:szCs w:val="16"/>
        </w:rPr>
        <w:footnoteRef/>
      </w:r>
      <w:r>
        <w:t xml:space="preserve"> </w:t>
      </w:r>
      <w:bookmarkStart w:id="5" w:name="_Hlk139889956"/>
      <w:r w:rsidRPr="004625A3">
        <w:rPr>
          <w:sz w:val="20"/>
        </w:rPr>
        <w:t>This provision is for the benefit of the investor. If you represent the company, you will prefer that the SAFE be automatically converted upon any equity financing without a threshold, in this case, please remove “Qualified Financing”, “Non-Qualified Financing” and “Maturity Conversion”.</w:t>
      </w:r>
      <w:r>
        <w:rPr>
          <w:sz w:val="20"/>
        </w:rPr>
        <w:t xml:space="preserve"> Please insert the required </w:t>
      </w:r>
      <w:r w:rsidRPr="004625A3">
        <w:rPr>
          <w:sz w:val="20"/>
        </w:rPr>
        <w:t>threshold</w:t>
      </w:r>
      <w:r>
        <w:rPr>
          <w:sz w:val="20"/>
        </w:rPr>
        <w:t xml:space="preserve"> amount</w:t>
      </w:r>
      <w:r w:rsidRPr="004625A3">
        <w:rPr>
          <w:sz w:val="20"/>
          <w:szCs w:val="16"/>
        </w:rPr>
        <w:t>. If you represent the company</w:t>
      </w:r>
      <w:r>
        <w:rPr>
          <w:sz w:val="20"/>
          <w:szCs w:val="16"/>
        </w:rPr>
        <w:t>,</w:t>
      </w:r>
      <w:r w:rsidRPr="004625A3">
        <w:rPr>
          <w:sz w:val="20"/>
          <w:szCs w:val="16"/>
        </w:rPr>
        <w:t xml:space="preserve"> you </w:t>
      </w:r>
      <w:r>
        <w:rPr>
          <w:sz w:val="20"/>
          <w:szCs w:val="16"/>
        </w:rPr>
        <w:t xml:space="preserve">would prefer to set a lower threshold </w:t>
      </w:r>
      <w:r w:rsidRPr="004625A3">
        <w:rPr>
          <w:sz w:val="20"/>
          <w:szCs w:val="16"/>
        </w:rPr>
        <w:t>amount</w:t>
      </w:r>
      <w:r>
        <w:rPr>
          <w:sz w:val="20"/>
          <w:szCs w:val="16"/>
        </w:rPr>
        <w:t xml:space="preserve">. Conversely, </w:t>
      </w:r>
      <w:r w:rsidRPr="004625A3">
        <w:rPr>
          <w:sz w:val="20"/>
          <w:szCs w:val="16"/>
        </w:rPr>
        <w:t>if you represent the investor</w:t>
      </w:r>
      <w:r>
        <w:rPr>
          <w:sz w:val="20"/>
          <w:szCs w:val="16"/>
        </w:rPr>
        <w:t>,</w:t>
      </w:r>
      <w:r w:rsidRPr="004625A3">
        <w:rPr>
          <w:sz w:val="20"/>
          <w:szCs w:val="16"/>
        </w:rPr>
        <w:t xml:space="preserve"> you </w:t>
      </w:r>
      <w:r>
        <w:rPr>
          <w:sz w:val="20"/>
          <w:szCs w:val="16"/>
        </w:rPr>
        <w:t>would</w:t>
      </w:r>
      <w:r w:rsidRPr="004625A3">
        <w:rPr>
          <w:sz w:val="20"/>
          <w:szCs w:val="16"/>
        </w:rPr>
        <w:t xml:space="preserve"> prefer</w:t>
      </w:r>
      <w:r>
        <w:rPr>
          <w:sz w:val="20"/>
          <w:szCs w:val="16"/>
        </w:rPr>
        <w:t xml:space="preserve"> to set</w:t>
      </w:r>
      <w:r w:rsidRPr="004625A3">
        <w:rPr>
          <w:sz w:val="20"/>
          <w:szCs w:val="16"/>
        </w:rPr>
        <w:t xml:space="preserve"> </w:t>
      </w:r>
      <w:r>
        <w:rPr>
          <w:sz w:val="20"/>
          <w:szCs w:val="16"/>
        </w:rPr>
        <w:t xml:space="preserve">a </w:t>
      </w:r>
      <w:r w:rsidRPr="004625A3">
        <w:rPr>
          <w:sz w:val="20"/>
          <w:szCs w:val="16"/>
        </w:rPr>
        <w:t xml:space="preserve">higher </w:t>
      </w:r>
      <w:r>
        <w:rPr>
          <w:sz w:val="20"/>
          <w:szCs w:val="16"/>
        </w:rPr>
        <w:t xml:space="preserve">threshold </w:t>
      </w:r>
      <w:r w:rsidRPr="004625A3">
        <w:rPr>
          <w:sz w:val="20"/>
          <w:szCs w:val="16"/>
        </w:rPr>
        <w:t xml:space="preserve">amount. </w:t>
      </w:r>
      <w:bookmarkEnd w:id="5"/>
    </w:p>
  </w:footnote>
  <w:footnote w:id="17">
    <w:p w14:paraId="191E6655" w14:textId="41008D6B" w:rsidR="009657F7" w:rsidRPr="009657F7" w:rsidRDefault="009657F7" w:rsidP="006C4A82">
      <w:pPr>
        <w:pStyle w:val="FootnoteText"/>
        <w:tabs>
          <w:tab w:val="clear" w:pos="360"/>
        </w:tabs>
        <w:spacing w:before="0" w:after="0"/>
        <w:ind w:firstLine="0"/>
        <w:rPr>
          <w:sz w:val="20"/>
          <w:szCs w:val="16"/>
        </w:rPr>
      </w:pPr>
      <w:r w:rsidRPr="009657F7">
        <w:rPr>
          <w:rStyle w:val="FootnoteReference"/>
          <w:sz w:val="20"/>
          <w:szCs w:val="16"/>
        </w:rPr>
        <w:footnoteRef/>
      </w:r>
      <w:r w:rsidRPr="009657F7">
        <w:rPr>
          <w:sz w:val="20"/>
          <w:szCs w:val="16"/>
        </w:rPr>
        <w:t xml:space="preserve"> Applicable only if “MFN </w:t>
      </w:r>
      <w:r w:rsidR="00D36F90" w:rsidRPr="009657F7">
        <w:rPr>
          <w:sz w:val="20"/>
          <w:szCs w:val="16"/>
        </w:rPr>
        <w:t>Amend</w:t>
      </w:r>
      <w:r w:rsidR="00D36F90">
        <w:rPr>
          <w:sz w:val="20"/>
          <w:szCs w:val="16"/>
        </w:rPr>
        <w:t>ment</w:t>
      </w:r>
      <w:r w:rsidR="00D36F90" w:rsidRPr="009657F7">
        <w:rPr>
          <w:sz w:val="20"/>
          <w:szCs w:val="16"/>
        </w:rPr>
        <w:t xml:space="preserve"> </w:t>
      </w:r>
      <w:r w:rsidRPr="009657F7">
        <w:rPr>
          <w:sz w:val="20"/>
          <w:szCs w:val="16"/>
        </w:rPr>
        <w:t xml:space="preserve">Provision” </w:t>
      </w:r>
      <w:r>
        <w:rPr>
          <w:sz w:val="20"/>
          <w:szCs w:val="16"/>
        </w:rPr>
        <w:t xml:space="preserve">option </w:t>
      </w:r>
      <w:r w:rsidRPr="009657F7">
        <w:rPr>
          <w:sz w:val="20"/>
          <w:szCs w:val="16"/>
        </w:rPr>
        <w:t>is selected.</w:t>
      </w:r>
    </w:p>
  </w:footnote>
  <w:footnote w:id="18">
    <w:p w14:paraId="3E488493" w14:textId="28B359E7" w:rsidR="009657F7" w:rsidRPr="009657F7" w:rsidRDefault="009657F7" w:rsidP="006C4A82">
      <w:pPr>
        <w:pStyle w:val="FootnoteText"/>
        <w:spacing w:before="0" w:after="0"/>
        <w:ind w:firstLine="0"/>
        <w:jc w:val="both"/>
        <w:rPr>
          <w:sz w:val="20"/>
          <w:szCs w:val="16"/>
        </w:rPr>
      </w:pPr>
      <w:r w:rsidRPr="009657F7">
        <w:rPr>
          <w:rStyle w:val="FootnoteReference"/>
          <w:sz w:val="20"/>
          <w:szCs w:val="16"/>
        </w:rPr>
        <w:footnoteRef/>
      </w:r>
      <w:r w:rsidRPr="009657F7">
        <w:rPr>
          <w:sz w:val="20"/>
          <w:szCs w:val="16"/>
        </w:rPr>
        <w:t xml:space="preserve"> This provision is for the benefit of the </w:t>
      </w:r>
      <w:r w:rsidR="008030EF">
        <w:rPr>
          <w:sz w:val="20"/>
          <w:szCs w:val="16"/>
        </w:rPr>
        <w:t>I</w:t>
      </w:r>
      <w:r w:rsidR="008030EF" w:rsidRPr="009657F7">
        <w:rPr>
          <w:sz w:val="20"/>
          <w:szCs w:val="16"/>
        </w:rPr>
        <w:t>nvestor</w:t>
      </w:r>
      <w:r w:rsidRPr="009657F7">
        <w:rPr>
          <w:sz w:val="20"/>
          <w:szCs w:val="16"/>
        </w:rPr>
        <w:t xml:space="preserve">. </w:t>
      </w:r>
      <w:r w:rsidR="00762820" w:rsidRPr="003C32C4">
        <w:rPr>
          <w:sz w:val="20"/>
          <w:szCs w:val="16"/>
        </w:rPr>
        <w:t xml:space="preserve">If you represent the </w:t>
      </w:r>
      <w:r w:rsidR="008030EF">
        <w:rPr>
          <w:sz w:val="20"/>
          <w:szCs w:val="16"/>
        </w:rPr>
        <w:t>C</w:t>
      </w:r>
      <w:r w:rsidR="008030EF" w:rsidRPr="003C32C4">
        <w:rPr>
          <w:sz w:val="20"/>
          <w:szCs w:val="16"/>
        </w:rPr>
        <w:t>ompany</w:t>
      </w:r>
      <w:r w:rsidR="00762820" w:rsidRPr="003C32C4">
        <w:rPr>
          <w:sz w:val="20"/>
          <w:szCs w:val="16"/>
        </w:rPr>
        <w:t>, you will prefer</w:t>
      </w:r>
      <w:r w:rsidR="00762820">
        <w:t xml:space="preserve"> </w:t>
      </w:r>
      <w:r w:rsidR="00762820">
        <w:rPr>
          <w:sz w:val="20"/>
          <w:szCs w:val="16"/>
        </w:rPr>
        <w:t>to remove this Section</w:t>
      </w:r>
      <w:r w:rsidR="002A5002">
        <w:rPr>
          <w:sz w:val="20"/>
          <w:szCs w:val="16"/>
        </w:rPr>
        <w:t xml:space="preserve">. </w:t>
      </w:r>
      <w:r w:rsidR="00CA4BA2">
        <w:rPr>
          <w:sz w:val="20"/>
          <w:szCs w:val="16"/>
        </w:rPr>
        <w:t>T</w:t>
      </w:r>
      <w:r w:rsidR="002A5002">
        <w:rPr>
          <w:sz w:val="20"/>
          <w:szCs w:val="16"/>
        </w:rPr>
        <w:t>he SAFE shall be amended to include the same terms of the new SAFE</w:t>
      </w:r>
      <w:r w:rsidR="00396458">
        <w:rPr>
          <w:sz w:val="20"/>
          <w:szCs w:val="16"/>
        </w:rPr>
        <w:t xml:space="preserve"> (MFN provision does not allow “cherry picking” of terms)</w:t>
      </w:r>
      <w:r w:rsidR="002A5002">
        <w:rPr>
          <w:sz w:val="20"/>
          <w:szCs w:val="16"/>
        </w:rPr>
        <w:t>.</w:t>
      </w:r>
      <w:r w:rsidR="00EE7AF0">
        <w:rPr>
          <w:sz w:val="20"/>
          <w:szCs w:val="16"/>
        </w:rPr>
        <w:t xml:space="preserve"> MFN provision may be granted to specific investor</w:t>
      </w:r>
      <w:r w:rsidR="008030EF">
        <w:rPr>
          <w:sz w:val="20"/>
          <w:szCs w:val="16"/>
        </w:rPr>
        <w:t>s</w:t>
      </w:r>
      <w:r w:rsidR="00EE7AF0">
        <w:rPr>
          <w:sz w:val="20"/>
          <w:szCs w:val="16"/>
        </w:rPr>
        <w:t xml:space="preserve"> and not all SAFE investors, or to such investors </w:t>
      </w:r>
      <w:r w:rsidR="008030EF">
        <w:rPr>
          <w:sz w:val="20"/>
          <w:szCs w:val="16"/>
        </w:rPr>
        <w:t xml:space="preserve">investing </w:t>
      </w:r>
      <w:r w:rsidR="00EE7AF0">
        <w:rPr>
          <w:sz w:val="20"/>
          <w:szCs w:val="16"/>
        </w:rPr>
        <w:t>at least $[],</w:t>
      </w:r>
      <w:r w:rsidR="00EE7AF0" w:rsidRPr="00EE7AF0">
        <w:rPr>
          <w:sz w:val="20"/>
          <w:szCs w:val="16"/>
        </w:rPr>
        <w:t xml:space="preserve"> </w:t>
      </w:r>
      <w:r w:rsidR="00EE7AF0">
        <w:rPr>
          <w:sz w:val="20"/>
          <w:szCs w:val="16"/>
        </w:rPr>
        <w:t xml:space="preserve">pursuant to a threshold determined by the Company. </w:t>
      </w:r>
    </w:p>
  </w:footnote>
  <w:footnote w:id="19">
    <w:p w14:paraId="3597898F" w14:textId="160C7520" w:rsidR="00714752" w:rsidRDefault="00714752" w:rsidP="00B22500">
      <w:pPr>
        <w:pStyle w:val="FootnoteText"/>
        <w:spacing w:before="0" w:after="0"/>
        <w:ind w:firstLine="0"/>
        <w:jc w:val="both"/>
      </w:pPr>
      <w:r w:rsidRPr="00F63ACE">
        <w:rPr>
          <w:rStyle w:val="FootnoteReference"/>
          <w:sz w:val="20"/>
          <w:szCs w:val="16"/>
        </w:rPr>
        <w:footnoteRef/>
      </w:r>
      <w:r>
        <w:rPr>
          <w:sz w:val="20"/>
        </w:rPr>
        <w:t xml:space="preserve"> </w:t>
      </w:r>
      <w:r w:rsidRPr="008E38AE">
        <w:rPr>
          <w:sz w:val="20"/>
        </w:rPr>
        <w:t xml:space="preserve">This Provision is for the benefit of the </w:t>
      </w:r>
      <w:r w:rsidR="008030EF">
        <w:rPr>
          <w:sz w:val="20"/>
        </w:rPr>
        <w:t>I</w:t>
      </w:r>
      <w:r w:rsidR="008030EF" w:rsidRPr="008E38AE">
        <w:rPr>
          <w:sz w:val="20"/>
        </w:rPr>
        <w:t>nvestor</w:t>
      </w:r>
      <w:r w:rsidRPr="008E38AE">
        <w:rPr>
          <w:sz w:val="20"/>
        </w:rPr>
        <w:t xml:space="preserve">. If you represent the </w:t>
      </w:r>
      <w:r w:rsidR="008030EF">
        <w:rPr>
          <w:sz w:val="20"/>
        </w:rPr>
        <w:t>C</w:t>
      </w:r>
      <w:r w:rsidR="008030EF" w:rsidRPr="008E38AE">
        <w:rPr>
          <w:sz w:val="20"/>
        </w:rPr>
        <w:t>ompany</w:t>
      </w:r>
      <w:r w:rsidRPr="008E38AE">
        <w:rPr>
          <w:sz w:val="20"/>
        </w:rPr>
        <w:t>, you will prefer to remove this Section</w:t>
      </w:r>
      <w:r w:rsidR="001124EA">
        <w:rPr>
          <w:sz w:val="20"/>
        </w:rPr>
        <w:t>.</w:t>
      </w:r>
      <w:r w:rsidRPr="008E38AE">
        <w:rPr>
          <w:sz w:val="20"/>
        </w:rPr>
        <w:t xml:space="preserve"> </w:t>
      </w:r>
      <w:r w:rsidR="001124EA">
        <w:rPr>
          <w:sz w:val="20"/>
        </w:rPr>
        <w:t xml:space="preserve">In the event you include this provision and the Pro Rata Rights Agreement you </w:t>
      </w:r>
      <w:r w:rsidR="008030EF">
        <w:rPr>
          <w:sz w:val="20"/>
        </w:rPr>
        <w:t xml:space="preserve">will </w:t>
      </w:r>
      <w:r w:rsidR="001124EA">
        <w:rPr>
          <w:sz w:val="20"/>
        </w:rPr>
        <w:t xml:space="preserve">need to check if </w:t>
      </w:r>
      <w:r w:rsidRPr="008E38AE">
        <w:rPr>
          <w:sz w:val="20"/>
        </w:rPr>
        <w:t xml:space="preserve">under the </w:t>
      </w:r>
      <w:r w:rsidR="008030EF">
        <w:rPr>
          <w:sz w:val="20"/>
        </w:rPr>
        <w:t>C</w:t>
      </w:r>
      <w:r w:rsidR="008030EF" w:rsidRPr="008E38AE">
        <w:rPr>
          <w:sz w:val="20"/>
        </w:rPr>
        <w:t xml:space="preserve">ompany’s </w:t>
      </w:r>
      <w:r w:rsidRPr="008E38AE">
        <w:rPr>
          <w:sz w:val="20"/>
        </w:rPr>
        <w:t>Articles of Association</w:t>
      </w:r>
      <w:r w:rsidR="00C41CCF">
        <w:rPr>
          <w:sz w:val="20"/>
        </w:rPr>
        <w:t>,</w:t>
      </w:r>
      <w:r w:rsidR="001124EA">
        <w:rPr>
          <w:sz w:val="20"/>
        </w:rPr>
        <w:t xml:space="preserve"> the pre-emptive rights include </w:t>
      </w:r>
      <w:r w:rsidR="008030EF">
        <w:rPr>
          <w:sz w:val="20"/>
        </w:rPr>
        <w:t>an over-</w:t>
      </w:r>
      <w:r w:rsidR="001124EA">
        <w:rPr>
          <w:sz w:val="20"/>
        </w:rPr>
        <w:t xml:space="preserve">allotment provision, in </w:t>
      </w:r>
      <w:r w:rsidR="008030EF">
        <w:rPr>
          <w:sz w:val="20"/>
        </w:rPr>
        <w:t xml:space="preserve">which </w:t>
      </w:r>
      <w:r w:rsidR="001124EA">
        <w:rPr>
          <w:sz w:val="20"/>
        </w:rPr>
        <w:t xml:space="preserve">case you </w:t>
      </w:r>
      <w:r w:rsidR="008030EF">
        <w:rPr>
          <w:sz w:val="20"/>
        </w:rPr>
        <w:t xml:space="preserve">may </w:t>
      </w:r>
      <w:r w:rsidR="001124EA">
        <w:rPr>
          <w:sz w:val="20"/>
        </w:rPr>
        <w:t>need to amend to Articles of Association to include the Pro-Rata Rights Agreement</w:t>
      </w:r>
      <w:r w:rsidRPr="004625A3">
        <w:rPr>
          <w:sz w:val="20"/>
        </w:rPr>
        <w:t>.</w:t>
      </w:r>
      <w:r w:rsidRPr="00C41CCF">
        <w:rPr>
          <w:sz w:val="20"/>
        </w:rPr>
        <w:t xml:space="preserve"> Pro Rata Rights Agreement provision may be granted</w:t>
      </w:r>
      <w:r>
        <w:rPr>
          <w:sz w:val="20"/>
          <w:szCs w:val="16"/>
        </w:rPr>
        <w:t xml:space="preserve"> to specific investor</w:t>
      </w:r>
      <w:r w:rsidR="008030EF">
        <w:rPr>
          <w:sz w:val="20"/>
          <w:szCs w:val="16"/>
        </w:rPr>
        <w:t>s</w:t>
      </w:r>
      <w:r>
        <w:rPr>
          <w:sz w:val="20"/>
          <w:szCs w:val="16"/>
        </w:rPr>
        <w:t xml:space="preserve"> and not all SAFE investors, or to such investors </w:t>
      </w:r>
      <w:r w:rsidR="008030EF">
        <w:rPr>
          <w:sz w:val="20"/>
          <w:szCs w:val="16"/>
        </w:rPr>
        <w:t xml:space="preserve">investing </w:t>
      </w:r>
      <w:r>
        <w:rPr>
          <w:sz w:val="20"/>
          <w:szCs w:val="16"/>
        </w:rPr>
        <w:t>at least $[],</w:t>
      </w:r>
      <w:r w:rsidRPr="00EE7AF0">
        <w:rPr>
          <w:sz w:val="20"/>
          <w:szCs w:val="16"/>
        </w:rPr>
        <w:t xml:space="preserve"> </w:t>
      </w:r>
      <w:r>
        <w:rPr>
          <w:sz w:val="20"/>
          <w:szCs w:val="16"/>
        </w:rPr>
        <w:t>pursuant to a threshold determined by the Company.</w:t>
      </w:r>
    </w:p>
  </w:footnote>
  <w:footnote w:id="20">
    <w:p w14:paraId="1D1D240C" w14:textId="1819FF97" w:rsidR="00AB42DD" w:rsidRPr="00B22500" w:rsidRDefault="00AB42DD" w:rsidP="00B22500">
      <w:pPr>
        <w:pStyle w:val="FootnoteText"/>
        <w:tabs>
          <w:tab w:val="clear" w:pos="360"/>
        </w:tabs>
        <w:ind w:firstLine="0"/>
        <w:rPr>
          <w:sz w:val="20"/>
        </w:rPr>
      </w:pPr>
      <w:r w:rsidRPr="00B22500">
        <w:rPr>
          <w:rStyle w:val="FootnoteReference"/>
          <w:sz w:val="20"/>
        </w:rPr>
        <w:footnoteRef/>
      </w:r>
      <w:r w:rsidRPr="00B22500">
        <w:rPr>
          <w:sz w:val="20"/>
        </w:rPr>
        <w:t xml:space="preserve"> This sentence is for the benefit of the Company. If you represent the Investor remove this sentence.  </w:t>
      </w:r>
    </w:p>
  </w:footnote>
  <w:footnote w:id="21">
    <w:p w14:paraId="7F12CFFE" w14:textId="77777777" w:rsidR="00126F72" w:rsidRPr="00126F72" w:rsidRDefault="00126F72" w:rsidP="00F40B20">
      <w:pPr>
        <w:pStyle w:val="FootnoteText"/>
        <w:spacing w:before="0" w:after="0"/>
        <w:ind w:firstLine="0"/>
        <w:jc w:val="both"/>
        <w:rPr>
          <w:sz w:val="20"/>
          <w:szCs w:val="16"/>
        </w:rPr>
      </w:pPr>
      <w:r w:rsidRPr="00126F72">
        <w:rPr>
          <w:rStyle w:val="FootnoteReference"/>
          <w:sz w:val="20"/>
          <w:szCs w:val="16"/>
        </w:rPr>
        <w:footnoteRef/>
      </w:r>
      <w:r w:rsidRPr="00126F72">
        <w:rPr>
          <w:sz w:val="20"/>
          <w:szCs w:val="16"/>
        </w:rPr>
        <w:t xml:space="preserve"> </w:t>
      </w:r>
      <w:bookmarkStart w:id="7" w:name="_Hlk139877897"/>
      <w:r w:rsidR="009657F7">
        <w:rPr>
          <w:sz w:val="20"/>
          <w:szCs w:val="16"/>
        </w:rPr>
        <w:t>Applicable only if</w:t>
      </w:r>
      <w:r>
        <w:rPr>
          <w:sz w:val="20"/>
          <w:szCs w:val="16"/>
        </w:rPr>
        <w:t xml:space="preserve"> the “Dividend Amount” option is selected</w:t>
      </w:r>
      <w:bookmarkEnd w:id="7"/>
      <w:r>
        <w:rPr>
          <w:sz w:val="20"/>
          <w:szCs w:val="16"/>
        </w:rPr>
        <w:t xml:space="preserve">. </w:t>
      </w:r>
    </w:p>
  </w:footnote>
  <w:footnote w:id="22">
    <w:p w14:paraId="0FC24640" w14:textId="1A9E69D4" w:rsidR="000C2E87" w:rsidRPr="00893EC0" w:rsidRDefault="000C2E87" w:rsidP="00B22500">
      <w:pPr>
        <w:pStyle w:val="FootnoteText"/>
        <w:tabs>
          <w:tab w:val="clear" w:pos="360"/>
        </w:tabs>
        <w:spacing w:before="0" w:after="0"/>
        <w:ind w:firstLine="0"/>
        <w:jc w:val="both"/>
        <w:rPr>
          <w:sz w:val="20"/>
          <w:szCs w:val="16"/>
        </w:rPr>
      </w:pPr>
      <w:r w:rsidRPr="00893EC0">
        <w:rPr>
          <w:rStyle w:val="FootnoteReference"/>
          <w:sz w:val="20"/>
          <w:szCs w:val="16"/>
        </w:rPr>
        <w:footnoteRef/>
      </w:r>
      <w:r w:rsidRPr="00893EC0">
        <w:rPr>
          <w:sz w:val="20"/>
          <w:szCs w:val="16"/>
        </w:rPr>
        <w:t xml:space="preserve"> Please note that the term “Permitted Transferee” </w:t>
      </w:r>
      <w:r w:rsidR="00286ABE">
        <w:rPr>
          <w:sz w:val="20"/>
          <w:szCs w:val="16"/>
        </w:rPr>
        <w:t>should be appropriately</w:t>
      </w:r>
      <w:r w:rsidR="00893EC0">
        <w:rPr>
          <w:sz w:val="20"/>
          <w:szCs w:val="16"/>
        </w:rPr>
        <w:t xml:space="preserve"> </w:t>
      </w:r>
      <w:r w:rsidRPr="00893EC0">
        <w:rPr>
          <w:sz w:val="20"/>
          <w:szCs w:val="16"/>
        </w:rPr>
        <w:t>defined in the Company’s Articles of Association.</w:t>
      </w:r>
    </w:p>
  </w:footnote>
  <w:footnote w:id="23">
    <w:p w14:paraId="045F22E3" w14:textId="24042085" w:rsidR="00990B0B" w:rsidRPr="00C41CCF" w:rsidRDefault="00990B0B" w:rsidP="00C41CCF">
      <w:pPr>
        <w:pStyle w:val="FootnoteText"/>
        <w:spacing w:before="0"/>
        <w:ind w:firstLine="0"/>
        <w:rPr>
          <w:sz w:val="20"/>
        </w:rPr>
      </w:pPr>
      <w:r w:rsidRPr="00C41CCF">
        <w:rPr>
          <w:rStyle w:val="FootnoteReference"/>
          <w:sz w:val="20"/>
        </w:rPr>
        <w:footnoteRef/>
      </w:r>
      <w:r w:rsidRPr="00C41CCF">
        <w:rPr>
          <w:sz w:val="20"/>
        </w:rPr>
        <w:t xml:space="preserve"> This provision is for the benefit of the </w:t>
      </w:r>
      <w:r w:rsidR="00EE57BF">
        <w:rPr>
          <w:sz w:val="20"/>
        </w:rPr>
        <w:t>I</w:t>
      </w:r>
      <w:r w:rsidR="00EE57BF" w:rsidRPr="00C41CCF">
        <w:rPr>
          <w:sz w:val="20"/>
        </w:rPr>
        <w:t>nvestor</w:t>
      </w:r>
      <w:r w:rsidRPr="00C41CCF">
        <w:rPr>
          <w:sz w:val="20"/>
        </w:rPr>
        <w:t xml:space="preserve">. If you represent the </w:t>
      </w:r>
      <w:r w:rsidR="00EE57BF">
        <w:rPr>
          <w:sz w:val="20"/>
        </w:rPr>
        <w:t>C</w:t>
      </w:r>
      <w:r w:rsidR="00EE57BF" w:rsidRPr="00C41CCF">
        <w:rPr>
          <w:sz w:val="20"/>
        </w:rPr>
        <w:t>ompany</w:t>
      </w:r>
      <w:r w:rsidRPr="00C41CCF">
        <w:rPr>
          <w:sz w:val="20"/>
        </w:rPr>
        <w:t>, you will prefer to remove this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7A59" w14:textId="77777777" w:rsidR="00234BC8" w:rsidRDefault="00234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B00F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2" w15:restartNumberingAfterBreak="0">
    <w:nsid w:val="34A72E2D"/>
    <w:multiLevelType w:val="hybridMultilevel"/>
    <w:tmpl w:val="792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15:restartNumberingAfterBreak="0">
    <w:nsid w:val="391D5578"/>
    <w:multiLevelType w:val="hybridMultilevel"/>
    <w:tmpl w:val="5CE4159C"/>
    <w:lvl w:ilvl="0" w:tplc="505AE930">
      <w:start w:val="1"/>
      <w:numFmt w:val="lowerLetter"/>
      <w:lvlText w:val="(%1)"/>
      <w:lvlJc w:val="left"/>
      <w:pPr>
        <w:ind w:left="2062" w:hanging="360"/>
      </w:pPr>
      <w:rPr>
        <w:rFonts w:hint="default"/>
        <w:sz w:val="22"/>
        <w:szCs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F332AC9"/>
    <w:multiLevelType w:val="hybridMultilevel"/>
    <w:tmpl w:val="5CE4159C"/>
    <w:lvl w:ilvl="0" w:tplc="505AE930">
      <w:start w:val="1"/>
      <w:numFmt w:val="lowerLetter"/>
      <w:lvlText w:val="(%1)"/>
      <w:lvlJc w:val="left"/>
      <w:pPr>
        <w:ind w:left="2062" w:hanging="360"/>
      </w:pPr>
      <w:rPr>
        <w:rFonts w:hint="default"/>
        <w:sz w:val="22"/>
        <w:szCs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5617019E"/>
    <w:multiLevelType w:val="hybridMultilevel"/>
    <w:tmpl w:val="5CE4159C"/>
    <w:lvl w:ilvl="0" w:tplc="505AE930">
      <w:start w:val="1"/>
      <w:numFmt w:val="lowerLetter"/>
      <w:lvlText w:val="(%1)"/>
      <w:lvlJc w:val="left"/>
      <w:pPr>
        <w:ind w:left="2062" w:hanging="360"/>
      </w:pPr>
      <w:rPr>
        <w:rFonts w:hint="default"/>
        <w:sz w:val="22"/>
        <w:szCs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8C4166C"/>
    <w:multiLevelType w:val="hybridMultilevel"/>
    <w:tmpl w:val="0E74BF32"/>
    <w:lvl w:ilvl="0" w:tplc="1062D198">
      <w:start w:val="1"/>
      <w:numFmt w:val="decimal"/>
      <w:lvlText w:val="%1."/>
      <w:lvlJc w:val="left"/>
      <w:pPr>
        <w:ind w:left="720" w:hanging="360"/>
      </w:pPr>
      <w:rPr>
        <w:rFonts w:hint="default"/>
        <w:b/>
        <w:bCs/>
        <w:i/>
        <w:iCs/>
      </w:rPr>
    </w:lvl>
    <w:lvl w:ilvl="1" w:tplc="94D8BD7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B833F2"/>
    <w:multiLevelType w:val="hybridMultilevel"/>
    <w:tmpl w:val="5CE4159C"/>
    <w:lvl w:ilvl="0" w:tplc="505AE930">
      <w:start w:val="1"/>
      <w:numFmt w:val="lowerLetter"/>
      <w:lvlText w:val="(%1)"/>
      <w:lvlJc w:val="left"/>
      <w:pPr>
        <w:ind w:left="2062" w:hanging="360"/>
      </w:pPr>
      <w:rPr>
        <w:rFonts w:hint="default"/>
        <w:sz w:val="22"/>
        <w:szCs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983042661">
    <w:abstractNumId w:val="3"/>
  </w:num>
  <w:num w:numId="2" w16cid:durableId="424031835">
    <w:abstractNumId w:val="1"/>
  </w:num>
  <w:num w:numId="3" w16cid:durableId="1061563081">
    <w:abstractNumId w:val="7"/>
  </w:num>
  <w:num w:numId="4" w16cid:durableId="1233080099">
    <w:abstractNumId w:val="8"/>
  </w:num>
  <w:num w:numId="5" w16cid:durableId="635374779">
    <w:abstractNumId w:val="0"/>
  </w:num>
  <w:num w:numId="6" w16cid:durableId="1092891961">
    <w:abstractNumId w:val="2"/>
  </w:num>
  <w:num w:numId="7" w16cid:durableId="2015718474">
    <w:abstractNumId w:val="5"/>
  </w:num>
  <w:num w:numId="8" w16cid:durableId="487864399">
    <w:abstractNumId w:val="6"/>
  </w:num>
  <w:num w:numId="9" w16cid:durableId="204127180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15"/>
    <w:rsid w:val="0000047D"/>
    <w:rsid w:val="00001BE1"/>
    <w:rsid w:val="000020B7"/>
    <w:rsid w:val="00005C41"/>
    <w:rsid w:val="000067B6"/>
    <w:rsid w:val="00013409"/>
    <w:rsid w:val="00015A26"/>
    <w:rsid w:val="00015F2F"/>
    <w:rsid w:val="0002033F"/>
    <w:rsid w:val="0002405E"/>
    <w:rsid w:val="000245AD"/>
    <w:rsid w:val="000254E2"/>
    <w:rsid w:val="00026B91"/>
    <w:rsid w:val="00030E5D"/>
    <w:rsid w:val="000332CB"/>
    <w:rsid w:val="000354EB"/>
    <w:rsid w:val="00035998"/>
    <w:rsid w:val="00037BCE"/>
    <w:rsid w:val="0004203A"/>
    <w:rsid w:val="000645DF"/>
    <w:rsid w:val="000673AF"/>
    <w:rsid w:val="00070B9A"/>
    <w:rsid w:val="0007209F"/>
    <w:rsid w:val="00072196"/>
    <w:rsid w:val="00074597"/>
    <w:rsid w:val="000832E9"/>
    <w:rsid w:val="000852A4"/>
    <w:rsid w:val="000965CD"/>
    <w:rsid w:val="00097D2D"/>
    <w:rsid w:val="000A2F69"/>
    <w:rsid w:val="000A49E2"/>
    <w:rsid w:val="000A50BA"/>
    <w:rsid w:val="000A7801"/>
    <w:rsid w:val="000B0F97"/>
    <w:rsid w:val="000B1A7F"/>
    <w:rsid w:val="000B3A87"/>
    <w:rsid w:val="000B6A09"/>
    <w:rsid w:val="000C1203"/>
    <w:rsid w:val="000C221A"/>
    <w:rsid w:val="000C2E87"/>
    <w:rsid w:val="000C3304"/>
    <w:rsid w:val="000C71F1"/>
    <w:rsid w:val="000C7707"/>
    <w:rsid w:val="000D35EB"/>
    <w:rsid w:val="000D6F63"/>
    <w:rsid w:val="000E0774"/>
    <w:rsid w:val="000E24DA"/>
    <w:rsid w:val="000E2DC7"/>
    <w:rsid w:val="000F2B53"/>
    <w:rsid w:val="000F790E"/>
    <w:rsid w:val="0010692C"/>
    <w:rsid w:val="001124EA"/>
    <w:rsid w:val="00114099"/>
    <w:rsid w:val="001239FA"/>
    <w:rsid w:val="0012442D"/>
    <w:rsid w:val="00126F72"/>
    <w:rsid w:val="00127757"/>
    <w:rsid w:val="0013041C"/>
    <w:rsid w:val="0013066C"/>
    <w:rsid w:val="001309B5"/>
    <w:rsid w:val="00131DA0"/>
    <w:rsid w:val="00132B42"/>
    <w:rsid w:val="0013441C"/>
    <w:rsid w:val="001376FC"/>
    <w:rsid w:val="00137D3A"/>
    <w:rsid w:val="00141B01"/>
    <w:rsid w:val="001422AF"/>
    <w:rsid w:val="0014368A"/>
    <w:rsid w:val="001458DE"/>
    <w:rsid w:val="00146C1F"/>
    <w:rsid w:val="00147C09"/>
    <w:rsid w:val="00157609"/>
    <w:rsid w:val="001649DE"/>
    <w:rsid w:val="00167E28"/>
    <w:rsid w:val="00173665"/>
    <w:rsid w:val="00173695"/>
    <w:rsid w:val="0018100B"/>
    <w:rsid w:val="00181A55"/>
    <w:rsid w:val="00181C15"/>
    <w:rsid w:val="00184410"/>
    <w:rsid w:val="00187F6B"/>
    <w:rsid w:val="001915B5"/>
    <w:rsid w:val="00196D16"/>
    <w:rsid w:val="001978D9"/>
    <w:rsid w:val="001A7ACA"/>
    <w:rsid w:val="001A7F23"/>
    <w:rsid w:val="001B0AFA"/>
    <w:rsid w:val="001B2399"/>
    <w:rsid w:val="001C0E91"/>
    <w:rsid w:val="001C3A83"/>
    <w:rsid w:val="001C4481"/>
    <w:rsid w:val="001C73AE"/>
    <w:rsid w:val="001D2B84"/>
    <w:rsid w:val="001D42F9"/>
    <w:rsid w:val="001D7B14"/>
    <w:rsid w:val="001E1591"/>
    <w:rsid w:val="001E3138"/>
    <w:rsid w:val="001E36BE"/>
    <w:rsid w:val="001E571A"/>
    <w:rsid w:val="001E746A"/>
    <w:rsid w:val="001F013A"/>
    <w:rsid w:val="001F4D9C"/>
    <w:rsid w:val="002033E2"/>
    <w:rsid w:val="002045EB"/>
    <w:rsid w:val="00204DB9"/>
    <w:rsid w:val="00205089"/>
    <w:rsid w:val="002115C5"/>
    <w:rsid w:val="002145D9"/>
    <w:rsid w:val="00220FF6"/>
    <w:rsid w:val="002218A7"/>
    <w:rsid w:val="00222438"/>
    <w:rsid w:val="0022483D"/>
    <w:rsid w:val="0023048A"/>
    <w:rsid w:val="002327D9"/>
    <w:rsid w:val="00234B17"/>
    <w:rsid w:val="00234BC8"/>
    <w:rsid w:val="00235C55"/>
    <w:rsid w:val="0024582E"/>
    <w:rsid w:val="00246B08"/>
    <w:rsid w:val="00247BFD"/>
    <w:rsid w:val="00253AA3"/>
    <w:rsid w:val="00253FA8"/>
    <w:rsid w:val="00254399"/>
    <w:rsid w:val="002600BF"/>
    <w:rsid w:val="002618FD"/>
    <w:rsid w:val="00262C48"/>
    <w:rsid w:val="00264D96"/>
    <w:rsid w:val="00265D10"/>
    <w:rsid w:val="00273383"/>
    <w:rsid w:val="0027541B"/>
    <w:rsid w:val="00275B5C"/>
    <w:rsid w:val="00275C10"/>
    <w:rsid w:val="00277B5D"/>
    <w:rsid w:val="00281FE4"/>
    <w:rsid w:val="002837EA"/>
    <w:rsid w:val="002858A4"/>
    <w:rsid w:val="00286ABE"/>
    <w:rsid w:val="002916FE"/>
    <w:rsid w:val="00296F4A"/>
    <w:rsid w:val="002A0BA4"/>
    <w:rsid w:val="002A1851"/>
    <w:rsid w:val="002A220D"/>
    <w:rsid w:val="002A41B8"/>
    <w:rsid w:val="002A5002"/>
    <w:rsid w:val="002A5D1A"/>
    <w:rsid w:val="002B4850"/>
    <w:rsid w:val="002B6DBA"/>
    <w:rsid w:val="002B74F6"/>
    <w:rsid w:val="002C16BC"/>
    <w:rsid w:val="002C27C0"/>
    <w:rsid w:val="002D2A7F"/>
    <w:rsid w:val="002D2F8A"/>
    <w:rsid w:val="002E08A7"/>
    <w:rsid w:val="002E0980"/>
    <w:rsid w:val="002E1D6F"/>
    <w:rsid w:val="002E26E3"/>
    <w:rsid w:val="002E28C0"/>
    <w:rsid w:val="002E3354"/>
    <w:rsid w:val="002E50FD"/>
    <w:rsid w:val="002E6858"/>
    <w:rsid w:val="002F41E3"/>
    <w:rsid w:val="002F59DC"/>
    <w:rsid w:val="0030091A"/>
    <w:rsid w:val="00301C24"/>
    <w:rsid w:val="003035BB"/>
    <w:rsid w:val="00304BD7"/>
    <w:rsid w:val="003056CA"/>
    <w:rsid w:val="003124A1"/>
    <w:rsid w:val="003206E8"/>
    <w:rsid w:val="00320861"/>
    <w:rsid w:val="0032188C"/>
    <w:rsid w:val="0032745F"/>
    <w:rsid w:val="0033033B"/>
    <w:rsid w:val="00331EC1"/>
    <w:rsid w:val="0033557F"/>
    <w:rsid w:val="003376F7"/>
    <w:rsid w:val="0034131E"/>
    <w:rsid w:val="003420AD"/>
    <w:rsid w:val="003432BC"/>
    <w:rsid w:val="0034381F"/>
    <w:rsid w:val="00343912"/>
    <w:rsid w:val="00347B1F"/>
    <w:rsid w:val="003515B2"/>
    <w:rsid w:val="00360F2C"/>
    <w:rsid w:val="0036260A"/>
    <w:rsid w:val="00364156"/>
    <w:rsid w:val="00367EEB"/>
    <w:rsid w:val="003737A9"/>
    <w:rsid w:val="0037739C"/>
    <w:rsid w:val="003776F3"/>
    <w:rsid w:val="0038184B"/>
    <w:rsid w:val="00382CDB"/>
    <w:rsid w:val="00384D51"/>
    <w:rsid w:val="00394E56"/>
    <w:rsid w:val="00396458"/>
    <w:rsid w:val="003A04FF"/>
    <w:rsid w:val="003A19A3"/>
    <w:rsid w:val="003A37AA"/>
    <w:rsid w:val="003A513D"/>
    <w:rsid w:val="003A5BB9"/>
    <w:rsid w:val="003B0797"/>
    <w:rsid w:val="003B36F9"/>
    <w:rsid w:val="003B6E26"/>
    <w:rsid w:val="003C0398"/>
    <w:rsid w:val="003C2B4D"/>
    <w:rsid w:val="003C326F"/>
    <w:rsid w:val="003C32C4"/>
    <w:rsid w:val="003C3573"/>
    <w:rsid w:val="003C3ACA"/>
    <w:rsid w:val="003C7D77"/>
    <w:rsid w:val="003D010D"/>
    <w:rsid w:val="003D15ED"/>
    <w:rsid w:val="003D1AE3"/>
    <w:rsid w:val="003D5B2A"/>
    <w:rsid w:val="003E245C"/>
    <w:rsid w:val="003E5502"/>
    <w:rsid w:val="003F1633"/>
    <w:rsid w:val="003F2477"/>
    <w:rsid w:val="003F2D90"/>
    <w:rsid w:val="003F5CA0"/>
    <w:rsid w:val="003F79B2"/>
    <w:rsid w:val="0040034A"/>
    <w:rsid w:val="00401B73"/>
    <w:rsid w:val="00403B4E"/>
    <w:rsid w:val="00404D74"/>
    <w:rsid w:val="004061DC"/>
    <w:rsid w:val="0040726D"/>
    <w:rsid w:val="00412847"/>
    <w:rsid w:val="004137CB"/>
    <w:rsid w:val="00415313"/>
    <w:rsid w:val="0041535D"/>
    <w:rsid w:val="004221A9"/>
    <w:rsid w:val="00430D18"/>
    <w:rsid w:val="0043111A"/>
    <w:rsid w:val="00431AB2"/>
    <w:rsid w:val="004356F1"/>
    <w:rsid w:val="00435C52"/>
    <w:rsid w:val="004360A1"/>
    <w:rsid w:val="00442117"/>
    <w:rsid w:val="00445BED"/>
    <w:rsid w:val="004505C0"/>
    <w:rsid w:val="004514BE"/>
    <w:rsid w:val="00452BF7"/>
    <w:rsid w:val="00457020"/>
    <w:rsid w:val="0045748A"/>
    <w:rsid w:val="004579FB"/>
    <w:rsid w:val="004625A3"/>
    <w:rsid w:val="004625DF"/>
    <w:rsid w:val="00464DFC"/>
    <w:rsid w:val="00465819"/>
    <w:rsid w:val="00466AD4"/>
    <w:rsid w:val="00467987"/>
    <w:rsid w:val="004719A9"/>
    <w:rsid w:val="004735FA"/>
    <w:rsid w:val="00481E0D"/>
    <w:rsid w:val="00487ABA"/>
    <w:rsid w:val="004905E0"/>
    <w:rsid w:val="00490C3C"/>
    <w:rsid w:val="004913B6"/>
    <w:rsid w:val="0049149B"/>
    <w:rsid w:val="00493AD9"/>
    <w:rsid w:val="00493B3C"/>
    <w:rsid w:val="00494CAE"/>
    <w:rsid w:val="00495D98"/>
    <w:rsid w:val="00496041"/>
    <w:rsid w:val="004A008C"/>
    <w:rsid w:val="004A1632"/>
    <w:rsid w:val="004A216F"/>
    <w:rsid w:val="004A32E1"/>
    <w:rsid w:val="004A3DF3"/>
    <w:rsid w:val="004A40A0"/>
    <w:rsid w:val="004A4230"/>
    <w:rsid w:val="004A4F45"/>
    <w:rsid w:val="004A6477"/>
    <w:rsid w:val="004A7625"/>
    <w:rsid w:val="004A7827"/>
    <w:rsid w:val="004B4574"/>
    <w:rsid w:val="004B53E3"/>
    <w:rsid w:val="004B7B86"/>
    <w:rsid w:val="004C1093"/>
    <w:rsid w:val="004C38B7"/>
    <w:rsid w:val="004C45AF"/>
    <w:rsid w:val="004C5DA0"/>
    <w:rsid w:val="004D0465"/>
    <w:rsid w:val="004D3273"/>
    <w:rsid w:val="004D6B8B"/>
    <w:rsid w:val="004E1858"/>
    <w:rsid w:val="004E422C"/>
    <w:rsid w:val="004E669A"/>
    <w:rsid w:val="004F3C8A"/>
    <w:rsid w:val="004F617A"/>
    <w:rsid w:val="004F631E"/>
    <w:rsid w:val="004F7EC9"/>
    <w:rsid w:val="005010F1"/>
    <w:rsid w:val="005011B2"/>
    <w:rsid w:val="00505841"/>
    <w:rsid w:val="0051211E"/>
    <w:rsid w:val="00515627"/>
    <w:rsid w:val="005203D9"/>
    <w:rsid w:val="0052095D"/>
    <w:rsid w:val="00522EBA"/>
    <w:rsid w:val="00524404"/>
    <w:rsid w:val="0053032A"/>
    <w:rsid w:val="005334B3"/>
    <w:rsid w:val="00536FBE"/>
    <w:rsid w:val="00537663"/>
    <w:rsid w:val="005377E9"/>
    <w:rsid w:val="0054090C"/>
    <w:rsid w:val="0054283E"/>
    <w:rsid w:val="00542EBC"/>
    <w:rsid w:val="00543E23"/>
    <w:rsid w:val="00547859"/>
    <w:rsid w:val="0055145B"/>
    <w:rsid w:val="00551522"/>
    <w:rsid w:val="00554BE4"/>
    <w:rsid w:val="0056519B"/>
    <w:rsid w:val="00566EC9"/>
    <w:rsid w:val="0057293C"/>
    <w:rsid w:val="00576CCC"/>
    <w:rsid w:val="00584237"/>
    <w:rsid w:val="005871D8"/>
    <w:rsid w:val="00596DB7"/>
    <w:rsid w:val="005A54BB"/>
    <w:rsid w:val="005A7B41"/>
    <w:rsid w:val="005B4022"/>
    <w:rsid w:val="005B6D5D"/>
    <w:rsid w:val="005C5CE5"/>
    <w:rsid w:val="005C6007"/>
    <w:rsid w:val="005C6652"/>
    <w:rsid w:val="005C782F"/>
    <w:rsid w:val="005D1EF4"/>
    <w:rsid w:val="005D45E4"/>
    <w:rsid w:val="005D4CBC"/>
    <w:rsid w:val="005E1B14"/>
    <w:rsid w:val="005E30B1"/>
    <w:rsid w:val="005E315A"/>
    <w:rsid w:val="005E5934"/>
    <w:rsid w:val="005F04DB"/>
    <w:rsid w:val="005F0A92"/>
    <w:rsid w:val="005F2761"/>
    <w:rsid w:val="005F7720"/>
    <w:rsid w:val="006035B1"/>
    <w:rsid w:val="00606436"/>
    <w:rsid w:val="006065B3"/>
    <w:rsid w:val="00612BAB"/>
    <w:rsid w:val="00612E45"/>
    <w:rsid w:val="006150FE"/>
    <w:rsid w:val="00616053"/>
    <w:rsid w:val="00617B47"/>
    <w:rsid w:val="006205EC"/>
    <w:rsid w:val="00623E08"/>
    <w:rsid w:val="0062426D"/>
    <w:rsid w:val="00633032"/>
    <w:rsid w:val="0063377A"/>
    <w:rsid w:val="00633884"/>
    <w:rsid w:val="00634318"/>
    <w:rsid w:val="00634D37"/>
    <w:rsid w:val="0064012E"/>
    <w:rsid w:val="006420F0"/>
    <w:rsid w:val="00643A61"/>
    <w:rsid w:val="00646FBC"/>
    <w:rsid w:val="00647219"/>
    <w:rsid w:val="00647694"/>
    <w:rsid w:val="00654695"/>
    <w:rsid w:val="006549E5"/>
    <w:rsid w:val="0065566D"/>
    <w:rsid w:val="006570CB"/>
    <w:rsid w:val="006611CB"/>
    <w:rsid w:val="006618DD"/>
    <w:rsid w:val="0066278D"/>
    <w:rsid w:val="00662F4B"/>
    <w:rsid w:val="006635BB"/>
    <w:rsid w:val="006636CE"/>
    <w:rsid w:val="00667E59"/>
    <w:rsid w:val="00670B09"/>
    <w:rsid w:val="00677465"/>
    <w:rsid w:val="00680545"/>
    <w:rsid w:val="00683D36"/>
    <w:rsid w:val="006867E1"/>
    <w:rsid w:val="00692F18"/>
    <w:rsid w:val="006931E0"/>
    <w:rsid w:val="006A04F8"/>
    <w:rsid w:val="006A1D97"/>
    <w:rsid w:val="006A1FD7"/>
    <w:rsid w:val="006A2AAC"/>
    <w:rsid w:val="006A5638"/>
    <w:rsid w:val="006A65C3"/>
    <w:rsid w:val="006B0841"/>
    <w:rsid w:val="006B32D8"/>
    <w:rsid w:val="006B6B6D"/>
    <w:rsid w:val="006B7D0B"/>
    <w:rsid w:val="006C0092"/>
    <w:rsid w:val="006C1F13"/>
    <w:rsid w:val="006C22B2"/>
    <w:rsid w:val="006C2D18"/>
    <w:rsid w:val="006C4A82"/>
    <w:rsid w:val="006C526F"/>
    <w:rsid w:val="006C7775"/>
    <w:rsid w:val="006D123B"/>
    <w:rsid w:val="006D30BF"/>
    <w:rsid w:val="006D5242"/>
    <w:rsid w:val="006D69B2"/>
    <w:rsid w:val="006E03BB"/>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08DE"/>
    <w:rsid w:val="00714395"/>
    <w:rsid w:val="00714752"/>
    <w:rsid w:val="0071558A"/>
    <w:rsid w:val="00722A82"/>
    <w:rsid w:val="007236E5"/>
    <w:rsid w:val="00727B6B"/>
    <w:rsid w:val="00732359"/>
    <w:rsid w:val="007325FA"/>
    <w:rsid w:val="00732B00"/>
    <w:rsid w:val="007334B4"/>
    <w:rsid w:val="00734A96"/>
    <w:rsid w:val="00736C88"/>
    <w:rsid w:val="0074081B"/>
    <w:rsid w:val="00743541"/>
    <w:rsid w:val="00745C4A"/>
    <w:rsid w:val="00745FCF"/>
    <w:rsid w:val="00746157"/>
    <w:rsid w:val="0075095E"/>
    <w:rsid w:val="00750BDB"/>
    <w:rsid w:val="00752AF8"/>
    <w:rsid w:val="00754275"/>
    <w:rsid w:val="00755458"/>
    <w:rsid w:val="00761860"/>
    <w:rsid w:val="00762820"/>
    <w:rsid w:val="007628ED"/>
    <w:rsid w:val="00763C0E"/>
    <w:rsid w:val="00764B64"/>
    <w:rsid w:val="0076644D"/>
    <w:rsid w:val="007733F3"/>
    <w:rsid w:val="00773538"/>
    <w:rsid w:val="007757C8"/>
    <w:rsid w:val="00775E23"/>
    <w:rsid w:val="00775FCF"/>
    <w:rsid w:val="00780501"/>
    <w:rsid w:val="0078111B"/>
    <w:rsid w:val="007813C9"/>
    <w:rsid w:val="00784669"/>
    <w:rsid w:val="00785568"/>
    <w:rsid w:val="007866A3"/>
    <w:rsid w:val="0078683A"/>
    <w:rsid w:val="007869D7"/>
    <w:rsid w:val="00791B77"/>
    <w:rsid w:val="00791D7C"/>
    <w:rsid w:val="00792181"/>
    <w:rsid w:val="00792DE3"/>
    <w:rsid w:val="0079399C"/>
    <w:rsid w:val="00795EE8"/>
    <w:rsid w:val="00796CBE"/>
    <w:rsid w:val="007A609D"/>
    <w:rsid w:val="007B1802"/>
    <w:rsid w:val="007C0B6B"/>
    <w:rsid w:val="007C278C"/>
    <w:rsid w:val="007C29F3"/>
    <w:rsid w:val="007C41E3"/>
    <w:rsid w:val="007C4A8E"/>
    <w:rsid w:val="007C7B47"/>
    <w:rsid w:val="007D1885"/>
    <w:rsid w:val="007D2CE1"/>
    <w:rsid w:val="007E2BD4"/>
    <w:rsid w:val="007E2C2A"/>
    <w:rsid w:val="007E56EB"/>
    <w:rsid w:val="007E7566"/>
    <w:rsid w:val="00801848"/>
    <w:rsid w:val="008030EF"/>
    <w:rsid w:val="00805385"/>
    <w:rsid w:val="00805EED"/>
    <w:rsid w:val="008116C7"/>
    <w:rsid w:val="0081458A"/>
    <w:rsid w:val="00815AAF"/>
    <w:rsid w:val="00817577"/>
    <w:rsid w:val="008242D7"/>
    <w:rsid w:val="0082473F"/>
    <w:rsid w:val="00824C2B"/>
    <w:rsid w:val="00827193"/>
    <w:rsid w:val="00830210"/>
    <w:rsid w:val="00831247"/>
    <w:rsid w:val="00831497"/>
    <w:rsid w:val="00833E4F"/>
    <w:rsid w:val="00834463"/>
    <w:rsid w:val="008425C9"/>
    <w:rsid w:val="0084285B"/>
    <w:rsid w:val="00843FC4"/>
    <w:rsid w:val="008453B7"/>
    <w:rsid w:val="00846D58"/>
    <w:rsid w:val="00850D12"/>
    <w:rsid w:val="00852431"/>
    <w:rsid w:val="00853C0F"/>
    <w:rsid w:val="0085725A"/>
    <w:rsid w:val="00860F08"/>
    <w:rsid w:val="00861B01"/>
    <w:rsid w:val="008647B3"/>
    <w:rsid w:val="008736D2"/>
    <w:rsid w:val="00873CF1"/>
    <w:rsid w:val="00881327"/>
    <w:rsid w:val="00884334"/>
    <w:rsid w:val="00885214"/>
    <w:rsid w:val="00893EC0"/>
    <w:rsid w:val="00894F24"/>
    <w:rsid w:val="00897C2A"/>
    <w:rsid w:val="00897EFB"/>
    <w:rsid w:val="008A0DC4"/>
    <w:rsid w:val="008A3D48"/>
    <w:rsid w:val="008A3FA1"/>
    <w:rsid w:val="008A4031"/>
    <w:rsid w:val="008A753F"/>
    <w:rsid w:val="008B0D4F"/>
    <w:rsid w:val="008B11F2"/>
    <w:rsid w:val="008B340B"/>
    <w:rsid w:val="008B51D2"/>
    <w:rsid w:val="008B6788"/>
    <w:rsid w:val="008B743B"/>
    <w:rsid w:val="008B787B"/>
    <w:rsid w:val="008C007E"/>
    <w:rsid w:val="008C2626"/>
    <w:rsid w:val="008C4B3F"/>
    <w:rsid w:val="008C5EC3"/>
    <w:rsid w:val="008C6EC5"/>
    <w:rsid w:val="008C7503"/>
    <w:rsid w:val="008D0F36"/>
    <w:rsid w:val="008D4BBC"/>
    <w:rsid w:val="008E3B83"/>
    <w:rsid w:val="008E53D0"/>
    <w:rsid w:val="008E7282"/>
    <w:rsid w:val="008F0CCC"/>
    <w:rsid w:val="008F293C"/>
    <w:rsid w:val="008F39E1"/>
    <w:rsid w:val="008F4E01"/>
    <w:rsid w:val="008F5004"/>
    <w:rsid w:val="00900114"/>
    <w:rsid w:val="0090246D"/>
    <w:rsid w:val="0090356B"/>
    <w:rsid w:val="009066E6"/>
    <w:rsid w:val="00910660"/>
    <w:rsid w:val="0091096B"/>
    <w:rsid w:val="009134C6"/>
    <w:rsid w:val="00917E59"/>
    <w:rsid w:val="009204D6"/>
    <w:rsid w:val="00926BE7"/>
    <w:rsid w:val="0093034E"/>
    <w:rsid w:val="00930B53"/>
    <w:rsid w:val="00930CF5"/>
    <w:rsid w:val="00931B89"/>
    <w:rsid w:val="0093463E"/>
    <w:rsid w:val="00934B08"/>
    <w:rsid w:val="0094024D"/>
    <w:rsid w:val="00945EAA"/>
    <w:rsid w:val="009479AA"/>
    <w:rsid w:val="009515FA"/>
    <w:rsid w:val="00957930"/>
    <w:rsid w:val="00957952"/>
    <w:rsid w:val="00963968"/>
    <w:rsid w:val="00965100"/>
    <w:rsid w:val="009657F7"/>
    <w:rsid w:val="009671A9"/>
    <w:rsid w:val="00967B0E"/>
    <w:rsid w:val="0097181A"/>
    <w:rsid w:val="00972668"/>
    <w:rsid w:val="00973761"/>
    <w:rsid w:val="00975635"/>
    <w:rsid w:val="009815CF"/>
    <w:rsid w:val="00990B0B"/>
    <w:rsid w:val="0099159F"/>
    <w:rsid w:val="009959EA"/>
    <w:rsid w:val="00996726"/>
    <w:rsid w:val="00997E21"/>
    <w:rsid w:val="009A14B1"/>
    <w:rsid w:val="009A21AB"/>
    <w:rsid w:val="009A426E"/>
    <w:rsid w:val="009A6939"/>
    <w:rsid w:val="009B205F"/>
    <w:rsid w:val="009B3021"/>
    <w:rsid w:val="009B42EF"/>
    <w:rsid w:val="009B562E"/>
    <w:rsid w:val="009B6D7B"/>
    <w:rsid w:val="009C0ADE"/>
    <w:rsid w:val="009C2B2F"/>
    <w:rsid w:val="009C659B"/>
    <w:rsid w:val="009C6622"/>
    <w:rsid w:val="009D2480"/>
    <w:rsid w:val="009D2F02"/>
    <w:rsid w:val="009D4571"/>
    <w:rsid w:val="009D593D"/>
    <w:rsid w:val="009D5C5E"/>
    <w:rsid w:val="009E2647"/>
    <w:rsid w:val="009E374D"/>
    <w:rsid w:val="009E58C4"/>
    <w:rsid w:val="009E5E98"/>
    <w:rsid w:val="009E65FE"/>
    <w:rsid w:val="009E6A72"/>
    <w:rsid w:val="009F1903"/>
    <w:rsid w:val="009F1D7A"/>
    <w:rsid w:val="009F46AF"/>
    <w:rsid w:val="00A0693A"/>
    <w:rsid w:val="00A06D68"/>
    <w:rsid w:val="00A06EBD"/>
    <w:rsid w:val="00A111D5"/>
    <w:rsid w:val="00A11FD1"/>
    <w:rsid w:val="00A139DC"/>
    <w:rsid w:val="00A22DB6"/>
    <w:rsid w:val="00A23830"/>
    <w:rsid w:val="00A270F8"/>
    <w:rsid w:val="00A3582F"/>
    <w:rsid w:val="00A35B16"/>
    <w:rsid w:val="00A409C4"/>
    <w:rsid w:val="00A4309F"/>
    <w:rsid w:val="00A4437E"/>
    <w:rsid w:val="00A447CA"/>
    <w:rsid w:val="00A46199"/>
    <w:rsid w:val="00A4630E"/>
    <w:rsid w:val="00A47D38"/>
    <w:rsid w:val="00A6332D"/>
    <w:rsid w:val="00A71E86"/>
    <w:rsid w:val="00A73611"/>
    <w:rsid w:val="00A76257"/>
    <w:rsid w:val="00A76A33"/>
    <w:rsid w:val="00A77B79"/>
    <w:rsid w:val="00A816DF"/>
    <w:rsid w:val="00A825C7"/>
    <w:rsid w:val="00A8341A"/>
    <w:rsid w:val="00A843B4"/>
    <w:rsid w:val="00A84568"/>
    <w:rsid w:val="00A87631"/>
    <w:rsid w:val="00A9046E"/>
    <w:rsid w:val="00A907AE"/>
    <w:rsid w:val="00A90D28"/>
    <w:rsid w:val="00A953B4"/>
    <w:rsid w:val="00A96EE0"/>
    <w:rsid w:val="00AA01BC"/>
    <w:rsid w:val="00AA128F"/>
    <w:rsid w:val="00AA280C"/>
    <w:rsid w:val="00AA4086"/>
    <w:rsid w:val="00AA42A4"/>
    <w:rsid w:val="00AA49F2"/>
    <w:rsid w:val="00AA69B7"/>
    <w:rsid w:val="00AA75A8"/>
    <w:rsid w:val="00AB1CCA"/>
    <w:rsid w:val="00AB1FD3"/>
    <w:rsid w:val="00AB3974"/>
    <w:rsid w:val="00AB3E0B"/>
    <w:rsid w:val="00AB42DD"/>
    <w:rsid w:val="00AC1004"/>
    <w:rsid w:val="00AC4E19"/>
    <w:rsid w:val="00AC511A"/>
    <w:rsid w:val="00AC5EBA"/>
    <w:rsid w:val="00AC6ABA"/>
    <w:rsid w:val="00AD1388"/>
    <w:rsid w:val="00AD1CAB"/>
    <w:rsid w:val="00AD277B"/>
    <w:rsid w:val="00AD4B3B"/>
    <w:rsid w:val="00AE20EC"/>
    <w:rsid w:val="00AE3E2D"/>
    <w:rsid w:val="00AE5884"/>
    <w:rsid w:val="00AE5C9C"/>
    <w:rsid w:val="00AE69DB"/>
    <w:rsid w:val="00AF1458"/>
    <w:rsid w:val="00AF496C"/>
    <w:rsid w:val="00B04016"/>
    <w:rsid w:val="00B04D5D"/>
    <w:rsid w:val="00B05C4A"/>
    <w:rsid w:val="00B05D8C"/>
    <w:rsid w:val="00B06641"/>
    <w:rsid w:val="00B0749F"/>
    <w:rsid w:val="00B12A9E"/>
    <w:rsid w:val="00B1343A"/>
    <w:rsid w:val="00B160B2"/>
    <w:rsid w:val="00B16C26"/>
    <w:rsid w:val="00B22500"/>
    <w:rsid w:val="00B3038C"/>
    <w:rsid w:val="00B33464"/>
    <w:rsid w:val="00B33A57"/>
    <w:rsid w:val="00B3631B"/>
    <w:rsid w:val="00B411C4"/>
    <w:rsid w:val="00B41359"/>
    <w:rsid w:val="00B44F93"/>
    <w:rsid w:val="00B5064B"/>
    <w:rsid w:val="00B52715"/>
    <w:rsid w:val="00B550B7"/>
    <w:rsid w:val="00B55CEE"/>
    <w:rsid w:val="00B563AA"/>
    <w:rsid w:val="00B56646"/>
    <w:rsid w:val="00B5791A"/>
    <w:rsid w:val="00B6025C"/>
    <w:rsid w:val="00B63B8D"/>
    <w:rsid w:val="00B65A2A"/>
    <w:rsid w:val="00B702D5"/>
    <w:rsid w:val="00B73658"/>
    <w:rsid w:val="00B73AC1"/>
    <w:rsid w:val="00B75005"/>
    <w:rsid w:val="00B7553B"/>
    <w:rsid w:val="00B75F14"/>
    <w:rsid w:val="00B80A72"/>
    <w:rsid w:val="00B83F3C"/>
    <w:rsid w:val="00B857B5"/>
    <w:rsid w:val="00B9308C"/>
    <w:rsid w:val="00BA0FDD"/>
    <w:rsid w:val="00BA2680"/>
    <w:rsid w:val="00BA3F45"/>
    <w:rsid w:val="00BA48CA"/>
    <w:rsid w:val="00BB141F"/>
    <w:rsid w:val="00BB666A"/>
    <w:rsid w:val="00BB685F"/>
    <w:rsid w:val="00BB6E3C"/>
    <w:rsid w:val="00BB7E14"/>
    <w:rsid w:val="00BC0A37"/>
    <w:rsid w:val="00BC246A"/>
    <w:rsid w:val="00BC76B0"/>
    <w:rsid w:val="00BC7CEB"/>
    <w:rsid w:val="00BD45D7"/>
    <w:rsid w:val="00BD5BAC"/>
    <w:rsid w:val="00BD6357"/>
    <w:rsid w:val="00BE0632"/>
    <w:rsid w:val="00BE0BD0"/>
    <w:rsid w:val="00BE6955"/>
    <w:rsid w:val="00BE7250"/>
    <w:rsid w:val="00BE7EF8"/>
    <w:rsid w:val="00BF04E9"/>
    <w:rsid w:val="00BF1D13"/>
    <w:rsid w:val="00C002E9"/>
    <w:rsid w:val="00C034BA"/>
    <w:rsid w:val="00C040DA"/>
    <w:rsid w:val="00C04932"/>
    <w:rsid w:val="00C05E33"/>
    <w:rsid w:val="00C06593"/>
    <w:rsid w:val="00C117C8"/>
    <w:rsid w:val="00C131AC"/>
    <w:rsid w:val="00C13224"/>
    <w:rsid w:val="00C147C2"/>
    <w:rsid w:val="00C147FD"/>
    <w:rsid w:val="00C17382"/>
    <w:rsid w:val="00C17DDE"/>
    <w:rsid w:val="00C22AF7"/>
    <w:rsid w:val="00C305AD"/>
    <w:rsid w:val="00C30FAB"/>
    <w:rsid w:val="00C319CE"/>
    <w:rsid w:val="00C31BA9"/>
    <w:rsid w:val="00C31F84"/>
    <w:rsid w:val="00C328A6"/>
    <w:rsid w:val="00C32B61"/>
    <w:rsid w:val="00C32D72"/>
    <w:rsid w:val="00C343C2"/>
    <w:rsid w:val="00C36207"/>
    <w:rsid w:val="00C37EFF"/>
    <w:rsid w:val="00C40043"/>
    <w:rsid w:val="00C41980"/>
    <w:rsid w:val="00C41CCF"/>
    <w:rsid w:val="00C4780E"/>
    <w:rsid w:val="00C47B5F"/>
    <w:rsid w:val="00C50D05"/>
    <w:rsid w:val="00C53054"/>
    <w:rsid w:val="00C5360B"/>
    <w:rsid w:val="00C54172"/>
    <w:rsid w:val="00C5710A"/>
    <w:rsid w:val="00C605A6"/>
    <w:rsid w:val="00C620E3"/>
    <w:rsid w:val="00C71D45"/>
    <w:rsid w:val="00C7255B"/>
    <w:rsid w:val="00C74591"/>
    <w:rsid w:val="00C776D7"/>
    <w:rsid w:val="00C82024"/>
    <w:rsid w:val="00C83828"/>
    <w:rsid w:val="00C86804"/>
    <w:rsid w:val="00C873BA"/>
    <w:rsid w:val="00C907F7"/>
    <w:rsid w:val="00C90E5E"/>
    <w:rsid w:val="00C92120"/>
    <w:rsid w:val="00C96D36"/>
    <w:rsid w:val="00CA4BA2"/>
    <w:rsid w:val="00CA4C28"/>
    <w:rsid w:val="00CA6DA2"/>
    <w:rsid w:val="00CB5DD9"/>
    <w:rsid w:val="00CB6BC9"/>
    <w:rsid w:val="00CC04FA"/>
    <w:rsid w:val="00CC3591"/>
    <w:rsid w:val="00CC7A57"/>
    <w:rsid w:val="00CD2C66"/>
    <w:rsid w:val="00CE0423"/>
    <w:rsid w:val="00CE0BD1"/>
    <w:rsid w:val="00CE14BF"/>
    <w:rsid w:val="00CE2BA7"/>
    <w:rsid w:val="00CE31BE"/>
    <w:rsid w:val="00CE5276"/>
    <w:rsid w:val="00CE6588"/>
    <w:rsid w:val="00CE7AFD"/>
    <w:rsid w:val="00CF09AD"/>
    <w:rsid w:val="00CF18AE"/>
    <w:rsid w:val="00CF3402"/>
    <w:rsid w:val="00CF414A"/>
    <w:rsid w:val="00CF5658"/>
    <w:rsid w:val="00CF56CF"/>
    <w:rsid w:val="00CF66F8"/>
    <w:rsid w:val="00CF68AD"/>
    <w:rsid w:val="00CF6D6F"/>
    <w:rsid w:val="00CF7533"/>
    <w:rsid w:val="00CF7B4A"/>
    <w:rsid w:val="00D00425"/>
    <w:rsid w:val="00D0266C"/>
    <w:rsid w:val="00D03A1B"/>
    <w:rsid w:val="00D04F1E"/>
    <w:rsid w:val="00D05626"/>
    <w:rsid w:val="00D07E11"/>
    <w:rsid w:val="00D12DC9"/>
    <w:rsid w:val="00D20E84"/>
    <w:rsid w:val="00D21D10"/>
    <w:rsid w:val="00D25E25"/>
    <w:rsid w:val="00D2656D"/>
    <w:rsid w:val="00D278B2"/>
    <w:rsid w:val="00D303EC"/>
    <w:rsid w:val="00D32A1D"/>
    <w:rsid w:val="00D32EF9"/>
    <w:rsid w:val="00D36F90"/>
    <w:rsid w:val="00D42B41"/>
    <w:rsid w:val="00D46EB0"/>
    <w:rsid w:val="00D50E86"/>
    <w:rsid w:val="00D51DF0"/>
    <w:rsid w:val="00D5333F"/>
    <w:rsid w:val="00D53442"/>
    <w:rsid w:val="00D547C6"/>
    <w:rsid w:val="00D5541F"/>
    <w:rsid w:val="00D55FE7"/>
    <w:rsid w:val="00D5627D"/>
    <w:rsid w:val="00D56804"/>
    <w:rsid w:val="00D576EB"/>
    <w:rsid w:val="00D65E6B"/>
    <w:rsid w:val="00D66069"/>
    <w:rsid w:val="00D70018"/>
    <w:rsid w:val="00D733D6"/>
    <w:rsid w:val="00D82A2E"/>
    <w:rsid w:val="00D8394E"/>
    <w:rsid w:val="00D84744"/>
    <w:rsid w:val="00D9298B"/>
    <w:rsid w:val="00DA04FC"/>
    <w:rsid w:val="00DA1BD1"/>
    <w:rsid w:val="00DA22DE"/>
    <w:rsid w:val="00DB0279"/>
    <w:rsid w:val="00DB124C"/>
    <w:rsid w:val="00DB52AE"/>
    <w:rsid w:val="00DB6B67"/>
    <w:rsid w:val="00DC5B24"/>
    <w:rsid w:val="00DC7C03"/>
    <w:rsid w:val="00DC7FE6"/>
    <w:rsid w:val="00DD163A"/>
    <w:rsid w:val="00DD381D"/>
    <w:rsid w:val="00DD5F5D"/>
    <w:rsid w:val="00DD7892"/>
    <w:rsid w:val="00DE3106"/>
    <w:rsid w:val="00DF2D29"/>
    <w:rsid w:val="00DF580B"/>
    <w:rsid w:val="00DF5A99"/>
    <w:rsid w:val="00DF66A9"/>
    <w:rsid w:val="00DF6E88"/>
    <w:rsid w:val="00DF7223"/>
    <w:rsid w:val="00E00688"/>
    <w:rsid w:val="00E01673"/>
    <w:rsid w:val="00E025D4"/>
    <w:rsid w:val="00E03696"/>
    <w:rsid w:val="00E05C7D"/>
    <w:rsid w:val="00E06667"/>
    <w:rsid w:val="00E1595A"/>
    <w:rsid w:val="00E2051D"/>
    <w:rsid w:val="00E213CC"/>
    <w:rsid w:val="00E23215"/>
    <w:rsid w:val="00E23401"/>
    <w:rsid w:val="00E30DE7"/>
    <w:rsid w:val="00E40BB9"/>
    <w:rsid w:val="00E40E4B"/>
    <w:rsid w:val="00E50520"/>
    <w:rsid w:val="00E5414A"/>
    <w:rsid w:val="00E55359"/>
    <w:rsid w:val="00E55741"/>
    <w:rsid w:val="00E558AD"/>
    <w:rsid w:val="00E6350F"/>
    <w:rsid w:val="00E701F5"/>
    <w:rsid w:val="00E720D3"/>
    <w:rsid w:val="00E72B68"/>
    <w:rsid w:val="00E73113"/>
    <w:rsid w:val="00E74604"/>
    <w:rsid w:val="00E855BE"/>
    <w:rsid w:val="00E85D41"/>
    <w:rsid w:val="00E87068"/>
    <w:rsid w:val="00E9112D"/>
    <w:rsid w:val="00E96C1D"/>
    <w:rsid w:val="00EA0FCE"/>
    <w:rsid w:val="00EA73DF"/>
    <w:rsid w:val="00EB1731"/>
    <w:rsid w:val="00EB1C84"/>
    <w:rsid w:val="00EB5CF3"/>
    <w:rsid w:val="00EB642C"/>
    <w:rsid w:val="00EC0F44"/>
    <w:rsid w:val="00EC17C9"/>
    <w:rsid w:val="00EC18AC"/>
    <w:rsid w:val="00EC1967"/>
    <w:rsid w:val="00EC4EE0"/>
    <w:rsid w:val="00EC771F"/>
    <w:rsid w:val="00EC7DB4"/>
    <w:rsid w:val="00ED2C17"/>
    <w:rsid w:val="00ED5756"/>
    <w:rsid w:val="00ED743A"/>
    <w:rsid w:val="00EE3DFE"/>
    <w:rsid w:val="00EE5548"/>
    <w:rsid w:val="00EE57BF"/>
    <w:rsid w:val="00EE7AF0"/>
    <w:rsid w:val="00EF0CC0"/>
    <w:rsid w:val="00EF3A0A"/>
    <w:rsid w:val="00EF3F06"/>
    <w:rsid w:val="00EF454E"/>
    <w:rsid w:val="00F0569C"/>
    <w:rsid w:val="00F06995"/>
    <w:rsid w:val="00F141BD"/>
    <w:rsid w:val="00F17763"/>
    <w:rsid w:val="00F20AEE"/>
    <w:rsid w:val="00F211B2"/>
    <w:rsid w:val="00F22D16"/>
    <w:rsid w:val="00F2511C"/>
    <w:rsid w:val="00F26091"/>
    <w:rsid w:val="00F2713E"/>
    <w:rsid w:val="00F33D54"/>
    <w:rsid w:val="00F3453C"/>
    <w:rsid w:val="00F35765"/>
    <w:rsid w:val="00F369D0"/>
    <w:rsid w:val="00F36AEC"/>
    <w:rsid w:val="00F40B20"/>
    <w:rsid w:val="00F43812"/>
    <w:rsid w:val="00F43A4F"/>
    <w:rsid w:val="00F44531"/>
    <w:rsid w:val="00F473F4"/>
    <w:rsid w:val="00F47FF2"/>
    <w:rsid w:val="00F528FE"/>
    <w:rsid w:val="00F60B77"/>
    <w:rsid w:val="00F61FC3"/>
    <w:rsid w:val="00F63ACE"/>
    <w:rsid w:val="00F65DC5"/>
    <w:rsid w:val="00F66627"/>
    <w:rsid w:val="00F672FF"/>
    <w:rsid w:val="00F707C0"/>
    <w:rsid w:val="00F777CC"/>
    <w:rsid w:val="00F8747B"/>
    <w:rsid w:val="00F90801"/>
    <w:rsid w:val="00F917CB"/>
    <w:rsid w:val="00F928C8"/>
    <w:rsid w:val="00F93E0C"/>
    <w:rsid w:val="00F94B31"/>
    <w:rsid w:val="00F95D32"/>
    <w:rsid w:val="00FA11DE"/>
    <w:rsid w:val="00FA1C90"/>
    <w:rsid w:val="00FA4248"/>
    <w:rsid w:val="00FA603C"/>
    <w:rsid w:val="00FA6914"/>
    <w:rsid w:val="00FA6A5B"/>
    <w:rsid w:val="00FB3709"/>
    <w:rsid w:val="00FB6BB5"/>
    <w:rsid w:val="00FC1CD3"/>
    <w:rsid w:val="00FC37F3"/>
    <w:rsid w:val="00FC4704"/>
    <w:rsid w:val="00FC58DE"/>
    <w:rsid w:val="00FC6013"/>
    <w:rsid w:val="00FD172F"/>
    <w:rsid w:val="00FD3B4F"/>
    <w:rsid w:val="00FD5179"/>
    <w:rsid w:val="00FE390B"/>
    <w:rsid w:val="00FE710B"/>
    <w:rsid w:val="00FE7A27"/>
    <w:rsid w:val="00FF676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DC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ind w:firstLine="720"/>
    </w:pPr>
    <w:rPr>
      <w:sz w:val="24"/>
      <w:lang w:eastAsia="en-US" w:bidi="ar-SA"/>
    </w:rPr>
  </w:style>
  <w:style w:type="paragraph" w:styleId="Heading1">
    <w:name w:val="heading 1"/>
    <w:basedOn w:val="Normal"/>
    <w:next w:val="Normal"/>
    <w:link w:val="Heading1Char"/>
    <w:uiPriority w:val="9"/>
    <w:qFormat/>
    <w:pPr>
      <w:numPr>
        <w:numId w:val="2"/>
      </w:numPr>
      <w:ind w:firstLine="0"/>
      <w:outlineLvl w:val="0"/>
    </w:pPr>
    <w:rPr>
      <w:kern w:val="28"/>
    </w:rPr>
  </w:style>
  <w:style w:type="paragraph" w:styleId="Heading2">
    <w:name w:val="heading 2"/>
    <w:basedOn w:val="Normal"/>
    <w:next w:val="Normal"/>
    <w:link w:val="Heading2Char"/>
    <w:uiPriority w:val="9"/>
    <w:qFormat/>
    <w:pPr>
      <w:numPr>
        <w:ilvl w:val="1"/>
        <w:numId w:val="2"/>
      </w:numPr>
      <w:ind w:firstLine="0"/>
      <w:outlineLvl w:val="1"/>
    </w:pPr>
  </w:style>
  <w:style w:type="paragraph" w:styleId="Heading3">
    <w:name w:val="heading 3"/>
    <w:basedOn w:val="Normal"/>
    <w:next w:val="Normal"/>
    <w:link w:val="Heading3Char"/>
    <w:uiPriority w:val="9"/>
    <w:qFormat/>
    <w:pPr>
      <w:numPr>
        <w:ilvl w:val="2"/>
        <w:numId w:val="2"/>
      </w:numPr>
      <w:ind w:firstLine="0"/>
      <w:outlineLvl w:val="2"/>
    </w:pPr>
  </w:style>
  <w:style w:type="paragraph" w:styleId="Heading4">
    <w:name w:val="heading 4"/>
    <w:basedOn w:val="Normal"/>
    <w:next w:val="Normal"/>
    <w:link w:val="Heading4Char"/>
    <w:uiPriority w:val="9"/>
    <w:qFormat/>
    <w:pPr>
      <w:numPr>
        <w:ilvl w:val="3"/>
        <w:numId w:val="2"/>
      </w:numPr>
      <w:ind w:firstLine="0"/>
      <w:outlineLvl w:val="3"/>
    </w:pPr>
  </w:style>
  <w:style w:type="paragraph" w:styleId="Heading5">
    <w:name w:val="heading 5"/>
    <w:basedOn w:val="Normal"/>
    <w:next w:val="Normal"/>
    <w:link w:val="Heading5Char"/>
    <w:uiPriority w:val="9"/>
    <w:qFormat/>
    <w:pPr>
      <w:numPr>
        <w:ilvl w:val="4"/>
        <w:numId w:val="2"/>
      </w:numPr>
      <w:ind w:firstLine="0"/>
      <w:outlineLvl w:val="4"/>
    </w:pPr>
  </w:style>
  <w:style w:type="paragraph" w:styleId="Heading6">
    <w:name w:val="heading 6"/>
    <w:basedOn w:val="Normal"/>
    <w:next w:val="Normal"/>
    <w:link w:val="Heading6Char"/>
    <w:uiPriority w:val="9"/>
    <w:qFormat/>
    <w:pPr>
      <w:numPr>
        <w:ilvl w:val="5"/>
        <w:numId w:val="2"/>
      </w:numPr>
      <w:ind w:firstLine="0"/>
      <w:outlineLvl w:val="5"/>
    </w:pPr>
  </w:style>
  <w:style w:type="paragraph" w:styleId="Heading7">
    <w:name w:val="heading 7"/>
    <w:basedOn w:val="Normal"/>
    <w:next w:val="Normal"/>
    <w:link w:val="Heading7Char"/>
    <w:uiPriority w:val="9"/>
    <w:qFormat/>
    <w:pPr>
      <w:numPr>
        <w:ilvl w:val="6"/>
        <w:numId w:val="2"/>
      </w:numPr>
      <w:ind w:firstLine="0"/>
      <w:outlineLvl w:val="6"/>
    </w:pPr>
  </w:style>
  <w:style w:type="paragraph" w:styleId="Heading8">
    <w:name w:val="heading 8"/>
    <w:basedOn w:val="Normal"/>
    <w:next w:val="Normal"/>
    <w:link w:val="Heading8Char"/>
    <w:uiPriority w:val="9"/>
    <w:qFormat/>
    <w:pPr>
      <w:numPr>
        <w:ilvl w:val="7"/>
        <w:numId w:val="2"/>
      </w:numPr>
      <w:ind w:firstLine="0"/>
      <w:outlineLvl w:val="7"/>
    </w:pPr>
  </w:style>
  <w:style w:type="paragraph" w:styleId="Heading9">
    <w:name w:val="heading 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kern w:val="28"/>
      <w:sz w:val="24"/>
      <w:lang w:eastAsia="en-US" w:bidi="ar-SA"/>
    </w:rPr>
  </w:style>
  <w:style w:type="character" w:customStyle="1" w:styleId="Heading2Char">
    <w:name w:val="Heading 2 Char"/>
    <w:basedOn w:val="DefaultParagraphFont"/>
    <w:link w:val="Heading2"/>
    <w:uiPriority w:val="9"/>
    <w:rPr>
      <w:sz w:val="24"/>
      <w:lang w:eastAsia="en-US" w:bidi="ar-SA"/>
    </w:rPr>
  </w:style>
  <w:style w:type="character" w:customStyle="1" w:styleId="Heading3Char">
    <w:name w:val="Heading 3 Char"/>
    <w:basedOn w:val="DefaultParagraphFont"/>
    <w:link w:val="Heading3"/>
    <w:uiPriority w:val="9"/>
    <w:rPr>
      <w:sz w:val="24"/>
      <w:lang w:eastAsia="en-US" w:bidi="ar-SA"/>
    </w:rPr>
  </w:style>
  <w:style w:type="character" w:customStyle="1" w:styleId="Heading4Char">
    <w:name w:val="Heading 4 Char"/>
    <w:basedOn w:val="DefaultParagraphFont"/>
    <w:link w:val="Heading4"/>
    <w:uiPriority w:val="9"/>
    <w:rPr>
      <w:sz w:val="24"/>
      <w:lang w:eastAsia="en-US" w:bidi="ar-SA"/>
    </w:rPr>
  </w:style>
  <w:style w:type="character" w:customStyle="1" w:styleId="Heading5Char">
    <w:name w:val="Heading 5 Char"/>
    <w:basedOn w:val="DefaultParagraphFont"/>
    <w:link w:val="Heading5"/>
    <w:uiPriority w:val="9"/>
    <w:rPr>
      <w:sz w:val="24"/>
      <w:lang w:eastAsia="en-US" w:bidi="ar-SA"/>
    </w:rPr>
  </w:style>
  <w:style w:type="character" w:customStyle="1" w:styleId="Heading6Char">
    <w:name w:val="Heading 6 Char"/>
    <w:basedOn w:val="DefaultParagraphFont"/>
    <w:link w:val="Heading6"/>
    <w:uiPriority w:val="9"/>
    <w:rPr>
      <w:sz w:val="24"/>
      <w:lang w:eastAsia="en-US" w:bidi="ar-SA"/>
    </w:rPr>
  </w:style>
  <w:style w:type="character" w:customStyle="1" w:styleId="Heading7Char">
    <w:name w:val="Heading 7 Char"/>
    <w:basedOn w:val="DefaultParagraphFont"/>
    <w:link w:val="Heading7"/>
    <w:uiPriority w:val="9"/>
    <w:rPr>
      <w:sz w:val="24"/>
      <w:lang w:eastAsia="en-US" w:bidi="ar-SA"/>
    </w:rPr>
  </w:style>
  <w:style w:type="character" w:customStyle="1" w:styleId="Heading8Char">
    <w:name w:val="Heading 8 Char"/>
    <w:basedOn w:val="DefaultParagraphFont"/>
    <w:link w:val="Heading8"/>
    <w:uiPriority w:val="9"/>
    <w:rPr>
      <w:sz w:val="24"/>
      <w:lang w:eastAsia="en-US" w:bidi="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en-US" w:bidi="ar-SA"/>
    </w:rPr>
  </w:style>
  <w:style w:type="paragraph" w:styleId="Caption">
    <w:name w:val="caption"/>
    <w:basedOn w:val="Normal"/>
    <w:next w:val="Normal"/>
    <w:uiPriority w:val="35"/>
    <w:qFormat/>
    <w:rPr>
      <w:b/>
      <w:bCs/>
      <w:sz w:val="20"/>
    </w:rPr>
  </w:style>
  <w:style w:type="character" w:styleId="CommentReference">
    <w:name w:val="annotation reference"/>
    <w:basedOn w:val="DefaultParagraphFont"/>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bidi="ar-SA"/>
    </w:rPr>
  </w:style>
  <w:style w:type="character" w:styleId="EndnoteReference">
    <w:name w:val="endnote reference"/>
    <w:basedOn w:val="DefaultParagraphFont"/>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basedOn w:val="DefaultParagraphFont"/>
    <w:link w:val="EndnoteText"/>
    <w:uiPriority w:val="99"/>
    <w:semiHidden/>
    <w:rPr>
      <w:lang w:eastAsia="en-US" w:bidi="ar-SA"/>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basedOn w:val="DefaultParagraphFont"/>
    <w:link w:val="FootnoteText"/>
    <w:uiPriority w:val="99"/>
    <w:semiHidden/>
    <w:rPr>
      <w:lang w:eastAsia="en-US" w:bidi="ar-SA"/>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bidi="ar-SA"/>
    </w:rPr>
  </w:style>
  <w:style w:type="character" w:customStyle="1" w:styleId="MacroTextChar">
    <w:name w:val="Macro Text Char"/>
    <w:basedOn w:val="DefaultParagraphFont"/>
    <w:link w:val="MacroText"/>
    <w:uiPriority w:val="99"/>
    <w:semiHidden/>
    <w:rPr>
      <w:rFonts w:ascii="Courier New" w:hAnsi="Courier New" w:cs="Courier New"/>
      <w:lang w:eastAsia="en-US" w:bidi="ar-SA"/>
    </w:rPr>
  </w:style>
  <w:style w:type="table" w:styleId="Table3Deffects1">
    <w:name w:val="Table 3D effects 1"/>
    <w:basedOn w:val="TableNormal"/>
    <w:uiPriority w:val="99"/>
    <w:semiHidden/>
    <w:rPr>
      <w:lang w:bidi="ar-S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Pr>
      <w:lang w:bidi="ar-S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Pr>
      <w:lang w:bidi="ar-SA"/>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Pr>
      <w:lang w:bidi="ar-S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Pr>
      <w:lang w:bidi="ar-SA"/>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Pr>
      <w:lang w:bidi="ar-S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Pr>
      <w:lang w:bidi="ar-SA"/>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Pr>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lang w:bidi="ar-SA"/>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Pr>
      <w:lang w:bidi="ar-S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Pr>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Pr>
      <w:lang w:bidi="ar-SA"/>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Pr>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Pr>
      <w:lang w:bidi="ar-SA"/>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Pr>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Pr>
      <w:lang w:bidi="ar-S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Pr>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Pr>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Pr>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Pr>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Pr>
      <w:lang w:bidi="ar-SA"/>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Pr>
      <w:lang w:bidi="ar-SA"/>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Pr>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Pr>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Pr>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Pr>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Pr>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Pr>
      <w:lang w:bidi="ar-SA"/>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Pr>
      <w:lang w:bidi="ar-SA"/>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Pr>
      <w:lang w:bidi="ar-S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Pr>
      <w:lang w:bidi="ar-SA"/>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Pr>
      <w:lang w:bidi="ar-SA"/>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Pr>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Pr>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Pr>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
      </w:numPr>
    </w:pPr>
  </w:style>
  <w:style w:type="paragraph" w:customStyle="1" w:styleId="ExAHeading2">
    <w:name w:val="ExA Heading 2"/>
    <w:basedOn w:val="Normal"/>
    <w:next w:val="Normal"/>
    <w:pPr>
      <w:numPr>
        <w:ilvl w:val="1"/>
        <w:numId w:val="1"/>
      </w:numPr>
    </w:pPr>
  </w:style>
  <w:style w:type="paragraph" w:customStyle="1" w:styleId="ExAHeading3">
    <w:name w:val="ExA Heading 3"/>
    <w:basedOn w:val="Normal"/>
    <w:next w:val="Normal"/>
    <w:pPr>
      <w:numPr>
        <w:ilvl w:val="2"/>
        <w:numId w:val="1"/>
      </w:numPr>
    </w:pPr>
  </w:style>
  <w:style w:type="paragraph" w:customStyle="1" w:styleId="ExAHeading4">
    <w:name w:val="ExA Heading 4"/>
    <w:basedOn w:val="Normal"/>
    <w:next w:val="Normal"/>
    <w:pPr>
      <w:numPr>
        <w:ilvl w:val="3"/>
        <w:numId w:val="1"/>
      </w:numPr>
    </w:pPr>
  </w:style>
  <w:style w:type="paragraph" w:customStyle="1" w:styleId="ExAHeading5">
    <w:name w:val="ExA Heading 5"/>
    <w:basedOn w:val="Normal"/>
    <w:next w:val="Normal"/>
    <w:pPr>
      <w:numPr>
        <w:ilvl w:val="4"/>
        <w:numId w:val="1"/>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basedOn w:val="DefaultParagraphFont"/>
    <w:link w:val="Footer"/>
    <w:uiPriority w:val="99"/>
    <w:semiHidden/>
    <w:rPr>
      <w:sz w:val="24"/>
      <w:lang w:eastAsia="en-US" w:bidi="ar-SA"/>
    </w:rPr>
  </w:style>
  <w:style w:type="paragraph" w:styleId="Header">
    <w:name w:val="header"/>
    <w:basedOn w:val="Normal"/>
    <w:link w:val="HeaderChar"/>
    <w:pPr>
      <w:tabs>
        <w:tab w:val="center" w:pos="4320"/>
        <w:tab w:val="right" w:pos="8640"/>
      </w:tabs>
      <w:spacing w:before="0"/>
      <w:ind w:firstLine="0"/>
    </w:pPr>
  </w:style>
  <w:style w:type="character" w:customStyle="1" w:styleId="HeaderChar">
    <w:name w:val="Header Char"/>
    <w:basedOn w:val="DefaultParagraphFont"/>
    <w:link w:val="Header"/>
    <w:locked/>
    <w:rPr>
      <w:rFonts w:cs="Times New Roman"/>
      <w:sz w:val="24"/>
    </w:rPr>
  </w:style>
  <w:style w:type="paragraph" w:customStyle="1" w:styleId="Label">
    <w:name w:val="Label"/>
    <w:basedOn w:val="Normal"/>
    <w:pPr>
      <w:spacing w:before="0"/>
      <w:ind w:firstLine="0"/>
    </w:pPr>
  </w:style>
  <w:style w:type="character" w:styleId="PageNumber">
    <w:name w:val="page number"/>
    <w:basedOn w:val="DefaultParagraphFont"/>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styleId="ListParagraph">
    <w:name w:val="List Paragraph"/>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4081B"/>
    <w:rPr>
      <w:rFonts w:ascii="Lucida Grande" w:hAnsi="Lucida Grande" w:cs="Lucida Grande"/>
      <w:sz w:val="18"/>
      <w:szCs w:val="18"/>
      <w:lang w:val="x-none" w:eastAsia="en-US"/>
    </w:rPr>
  </w:style>
  <w:style w:type="paragraph" w:styleId="Revision">
    <w:name w:val="Revision"/>
    <w:hidden/>
    <w:uiPriority w:val="99"/>
    <w:semiHidden/>
    <w:rsid w:val="00AB3E0B"/>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F5F0-618B-450B-994A-ACD59E8A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4821</Words>
  <Characters>26375</Characters>
  <Application>Microsoft Office Word</Application>
  <DocSecurity>0</DocSecurity>
  <Lines>527</Lines>
  <Paragraphs>152</Paragraphs>
  <ScaleCrop>false</ScaleCrop>
  <HeadingPairs>
    <vt:vector size="2" baseType="variant">
      <vt:variant>
        <vt:lpstr>Title</vt:lpstr>
      </vt:variant>
      <vt:variant>
        <vt:i4>1</vt:i4>
      </vt:variant>
    </vt:vector>
  </HeadingPairs>
  <TitlesOfParts>
    <vt:vector size="1" baseType="lpstr">
      <vt:lpstr>THIS NOTE HAS BEEN ISSUED IN A TRANSACTION EXEMPT FROM THE REGISTRATION REQUIREMENTS OF THE SECURITIES ACT OF 1933, AS AMENDED (THE "ACT"), AND THE STATE SECURITIES LAWS</vt:lpstr>
    </vt:vector>
  </TitlesOfParts>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NOTE HAS BEEN ISSUED IN A TRANSACTION EXEMPT FROM THE REGISTRATION REQUIREMENTS OF THE SECURITIES ACT OF 1933, AS AMENDED (THE "ACT"), AND THE STATE SECURITIES LAWS</dc:title>
  <dc:subject/>
  <dc:creator/>
  <cp:keywords/>
  <dc:description/>
  <cp:lastModifiedBy/>
  <cp:revision>1</cp:revision>
  <cp:lastPrinted>2010-10-18T16:48:00Z</cp:lastPrinted>
  <dcterms:created xsi:type="dcterms:W3CDTF">2023-11-16T13:55:00Z</dcterms:created>
  <dcterms:modified xsi:type="dcterms:W3CDTF">2025-06-11T13:49:00Z</dcterms:modified>
</cp:coreProperties>
</file>