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735E" w14:textId="77777777" w:rsidR="000D1A30" w:rsidRDefault="00DF353B">
      <w:pPr>
        <w:pStyle w:val="BodyText"/>
        <w:jc w:val="center"/>
        <w:rPr>
          <w:rFonts w:cs="Times New Roman"/>
          <w:b/>
          <w:bCs/>
          <w:szCs w:val="22"/>
        </w:rPr>
      </w:pPr>
      <w:r>
        <w:rPr>
          <w:rFonts w:cs="Times New Roman"/>
          <w:b/>
          <w:bCs/>
          <w:szCs w:val="22"/>
        </w:rPr>
        <w:t xml:space="preserve">[______________] LTD. </w:t>
      </w:r>
      <w:r>
        <w:rPr>
          <w:rFonts w:cs="Times New Roman"/>
          <w:b/>
          <w:bCs/>
          <w:szCs w:val="22"/>
        </w:rPr>
        <w:br/>
        <w:t>(THE “COMPANY”)</w:t>
      </w:r>
    </w:p>
    <w:p w14:paraId="7C7AC106" w14:textId="77777777" w:rsidR="000D1A30" w:rsidRDefault="00DF353B">
      <w:pPr>
        <w:ind w:right="-57"/>
        <w:jc w:val="center"/>
        <w:rPr>
          <w:b/>
          <w:bCs/>
          <w:caps/>
          <w:color w:val="000000"/>
          <w:szCs w:val="22"/>
          <w:u w:val="single"/>
        </w:rPr>
      </w:pPr>
      <w:r>
        <w:rPr>
          <w:b/>
          <w:bCs/>
          <w:caps/>
          <w:color w:val="000000"/>
          <w:szCs w:val="22"/>
        </w:rPr>
        <w:t>UNANIMOUS WRITTEN RESOLUTION OF the</w:t>
      </w:r>
      <w:r>
        <w:rPr>
          <w:b/>
          <w:bCs/>
          <w:caps/>
          <w:color w:val="000000"/>
          <w:szCs w:val="22"/>
          <w:u w:val="single"/>
        </w:rPr>
        <w:t xml:space="preserve"> </w:t>
      </w:r>
    </w:p>
    <w:p w14:paraId="0C4C0841" w14:textId="77777777" w:rsidR="000D1A30" w:rsidRDefault="00DF353B">
      <w:pPr>
        <w:ind w:right="-57"/>
        <w:jc w:val="center"/>
        <w:rPr>
          <w:b/>
          <w:bCs/>
          <w:caps/>
          <w:color w:val="000000"/>
          <w:szCs w:val="22"/>
        </w:rPr>
      </w:pPr>
      <w:r>
        <w:rPr>
          <w:b/>
          <w:bCs/>
          <w:caps/>
          <w:color w:val="000000"/>
          <w:szCs w:val="22"/>
        </w:rPr>
        <w:t>BOARD OF DIRECTORS</w:t>
      </w:r>
    </w:p>
    <w:p w14:paraId="5BE56FDE" w14:textId="7CF06E2C" w:rsidR="000D1A30" w:rsidRDefault="00DF353B">
      <w:pPr>
        <w:ind w:right="-57"/>
        <w:jc w:val="center"/>
        <w:rPr>
          <w:b/>
          <w:bCs/>
          <w:caps/>
          <w:color w:val="000000"/>
          <w:szCs w:val="22"/>
        </w:rPr>
      </w:pPr>
      <w:r>
        <w:rPr>
          <w:b/>
          <w:bCs/>
          <w:caps/>
          <w:color w:val="000000"/>
          <w:szCs w:val="22"/>
        </w:rPr>
        <w:t xml:space="preserve">Dated ___________, </w:t>
      </w:r>
    </w:p>
    <w:p w14:paraId="0C0171B7" w14:textId="77777777" w:rsidR="000D1A30" w:rsidRDefault="00DF353B">
      <w:pPr>
        <w:pStyle w:val="Title"/>
        <w:jc w:val="both"/>
        <w:rPr>
          <w:b/>
          <w:bCs/>
          <w:u w:val="single"/>
        </w:rPr>
      </w:pPr>
      <w:r>
        <w:rPr>
          <w:b/>
          <w:bCs/>
          <w:u w:val="single"/>
        </w:rPr>
        <w:t>Action by unanimous written consent</w:t>
      </w:r>
    </w:p>
    <w:p w14:paraId="2E7439B2" w14:textId="77777777" w:rsidR="000D1A30" w:rsidRDefault="00DF353B">
      <w:pPr>
        <w:widowControl w:val="0"/>
        <w:spacing w:before="240"/>
        <w:jc w:val="both"/>
        <w:rPr>
          <w:color w:val="000000"/>
          <w:szCs w:val="22"/>
          <w:rtl/>
        </w:rPr>
      </w:pPr>
      <w:r>
        <w:rPr>
          <w:color w:val="000000"/>
          <w:szCs w:val="22"/>
        </w:rPr>
        <w:t>The undersigned, comprising all of the members of the Board of Directors (“</w:t>
      </w:r>
      <w:r>
        <w:rPr>
          <w:b/>
          <w:color w:val="000000"/>
          <w:szCs w:val="22"/>
        </w:rPr>
        <w:t>Board</w:t>
      </w:r>
      <w:r>
        <w:rPr>
          <w:color w:val="000000"/>
          <w:szCs w:val="22"/>
        </w:rPr>
        <w:t>”) of ___ Ltd. (the “</w:t>
      </w:r>
      <w:r>
        <w:rPr>
          <w:b/>
          <w:color w:val="000000"/>
          <w:szCs w:val="22"/>
        </w:rPr>
        <w:t>Company</w:t>
      </w:r>
      <w:r>
        <w:rPr>
          <w:color w:val="000000"/>
          <w:szCs w:val="22"/>
        </w:rPr>
        <w:t>”), acting by unanimous written consent of all the members of the Board, do hereby unanimously resolve in writing, in lieu of a meeting of the Board and pursuant to the Articles of Association of the Company, the following:</w:t>
      </w:r>
    </w:p>
    <w:p w14:paraId="3BD62EB1" w14:textId="77777777" w:rsidR="000D1A30" w:rsidRDefault="000D1A30">
      <w:pPr>
        <w:pStyle w:val="List1"/>
        <w:ind w:left="0" w:right="4" w:firstLine="0"/>
        <w:rPr>
          <w:b/>
          <w:bCs/>
          <w:u w:val="single"/>
          <w:lang w:eastAsia="en-US"/>
        </w:rPr>
      </w:pPr>
    </w:p>
    <w:p w14:paraId="22CA0BA7" w14:textId="70790696" w:rsidR="000D1A30" w:rsidRDefault="00DF353B">
      <w:pPr>
        <w:pStyle w:val="List1"/>
        <w:ind w:left="0" w:right="4" w:firstLine="0"/>
        <w:rPr>
          <w:b/>
          <w:bCs/>
          <w:u w:val="single"/>
          <w:lang w:eastAsia="en-US"/>
        </w:rPr>
      </w:pPr>
      <w:r>
        <w:rPr>
          <w:b/>
          <w:bCs/>
          <w:u w:val="single"/>
          <w:lang w:eastAsia="en-US"/>
        </w:rPr>
        <w:t xml:space="preserve">ADOPTION OF </w:t>
      </w:r>
      <w:r w:rsidR="00FE3224">
        <w:rPr>
          <w:b/>
          <w:bCs/>
          <w:u w:val="single"/>
          <w:lang w:eastAsia="en-US"/>
        </w:rPr>
        <w:t>[___]</w:t>
      </w:r>
      <w:r>
        <w:rPr>
          <w:b/>
          <w:bCs/>
          <w:u w:val="single"/>
          <w:lang w:eastAsia="en-US"/>
        </w:rPr>
        <w:t xml:space="preserve"> EQUITY INCENTIVE PLAN; RESERVATION OF SHARES</w:t>
      </w:r>
    </w:p>
    <w:p w14:paraId="3C2DC6DB" w14:textId="77777777" w:rsidR="000D1A30" w:rsidRDefault="00DF353B">
      <w:pPr>
        <w:ind w:firstLine="720"/>
        <w:jc w:val="both"/>
      </w:pPr>
      <w:r>
        <w:rPr>
          <w:b/>
          <w:bCs/>
          <w:lang w:val="en-GB" w:eastAsia="en-GB"/>
        </w:rPr>
        <w:t>WHEREAS,</w:t>
      </w:r>
      <w:r>
        <w:rPr>
          <w:lang w:val="en-GB" w:eastAsia="en-GB"/>
        </w:rPr>
        <w:t xml:space="preserve"> the Board has determined that it is in the best interests of the Company and its shareholders to adopt</w:t>
      </w:r>
      <w:r>
        <w:t xml:space="preserve"> an equity incentive plan for its and its affiliates' employees, consultants and directors; and</w:t>
      </w:r>
    </w:p>
    <w:p w14:paraId="43329A72" w14:textId="77777777" w:rsidR="000D1A30" w:rsidRDefault="00DF353B">
      <w:pPr>
        <w:pStyle w:val="BodyTextIndent"/>
        <w:tabs>
          <w:tab w:val="left" w:pos="0"/>
          <w:tab w:val="left" w:pos="709"/>
        </w:tabs>
        <w:spacing w:before="120"/>
        <w:ind w:left="0"/>
        <w:jc w:val="both"/>
        <w:rPr>
          <w:bCs/>
        </w:rPr>
      </w:pPr>
      <w:r>
        <w:rPr>
          <w:b/>
        </w:rPr>
        <w:tab/>
        <w:t>WHEREAS</w:t>
      </w:r>
      <w:r>
        <w:rPr>
          <w:bCs/>
          <w:i/>
          <w:iCs/>
        </w:rPr>
        <w:t>,</w:t>
      </w:r>
      <w:r>
        <w:rPr>
          <w:b/>
          <w:i/>
          <w:iCs/>
        </w:rPr>
        <w:t xml:space="preserve"> </w:t>
      </w:r>
      <w:r>
        <w:rPr>
          <w:bCs/>
        </w:rPr>
        <w:t>Section 102(b)(2) of the Israeli Income Tax Ordinance (“</w:t>
      </w:r>
      <w:r>
        <w:rPr>
          <w:b/>
        </w:rPr>
        <w:t>Section</w:t>
      </w:r>
      <w:r>
        <w:rPr>
          <w:bCs/>
        </w:rPr>
        <w:t xml:space="preserve"> </w:t>
      </w:r>
      <w:r>
        <w:rPr>
          <w:b/>
        </w:rPr>
        <w:t>102 (b)(2)</w:t>
      </w:r>
      <w:r>
        <w:rPr>
          <w:bCs/>
        </w:rPr>
        <w:t xml:space="preserve">”) provides the conditions pursuant to which options granted to Israeli employees </w:t>
      </w:r>
      <w:r>
        <w:rPr>
          <w:bCs/>
          <w:lang w:val="en-US"/>
        </w:rPr>
        <w:t xml:space="preserve">and directors </w:t>
      </w:r>
      <w:r>
        <w:rPr>
          <w:bCs/>
        </w:rPr>
        <w:t xml:space="preserve">will be taxed at a rate of 25%, and provides that the Company shall not be allowed to recognize the expenses incurred pursuant to the grant of such options. </w:t>
      </w:r>
    </w:p>
    <w:p w14:paraId="075BEDEB" w14:textId="77777777" w:rsidR="000D1A30" w:rsidRDefault="00DF353B">
      <w:pPr>
        <w:pStyle w:val="List1"/>
        <w:ind w:left="0" w:right="713" w:firstLine="720"/>
        <w:rPr>
          <w:b/>
          <w:bCs/>
          <w:lang w:eastAsia="en-US"/>
        </w:rPr>
      </w:pPr>
      <w:r>
        <w:rPr>
          <w:b/>
          <w:bCs/>
          <w:lang w:eastAsia="en-US"/>
        </w:rPr>
        <w:t>NOW, THEREFORE, BE IT:</w:t>
      </w:r>
    </w:p>
    <w:p w14:paraId="6CC3166D" w14:textId="77777777" w:rsidR="000D1A30" w:rsidRDefault="00DF353B">
      <w:pPr>
        <w:ind w:firstLine="720"/>
        <w:jc w:val="both"/>
      </w:pPr>
      <w:r>
        <w:rPr>
          <w:b/>
          <w:bCs/>
        </w:rPr>
        <w:t>RESOLVED</w:t>
      </w:r>
      <w:r>
        <w:t xml:space="preserve">, that the </w:t>
      </w:r>
      <w:r>
        <w:rPr>
          <w:lang w:eastAsia="en-US"/>
        </w:rPr>
        <w:t xml:space="preserve">Company`s </w:t>
      </w:r>
      <w:r>
        <w:t>20[__] Equity Incentive Plan (the "</w:t>
      </w:r>
      <w:r>
        <w:rPr>
          <w:b/>
          <w:bCs/>
        </w:rPr>
        <w:t>Plan</w:t>
      </w:r>
      <w:r>
        <w:t>"), the appendix pertaining to Israeli residents (the "</w:t>
      </w:r>
      <w:r>
        <w:rPr>
          <w:b/>
          <w:bCs/>
        </w:rPr>
        <w:t>Appendix</w:t>
      </w:r>
      <w:r>
        <w:t xml:space="preserve">") and the respective Option Agreements for Israeli and non-Israeli Service Providers (the </w:t>
      </w:r>
      <w:r>
        <w:rPr>
          <w:b/>
          <w:bCs/>
        </w:rPr>
        <w:t>"Option</w:t>
      </w:r>
      <w:r>
        <w:t xml:space="preserve"> </w:t>
      </w:r>
      <w:r>
        <w:rPr>
          <w:b/>
          <w:bCs/>
        </w:rPr>
        <w:t>Agreements</w:t>
      </w:r>
      <w:r>
        <w:t xml:space="preserve">"), substantially in the forms attached hereto as </w:t>
      </w:r>
      <w:r>
        <w:rPr>
          <w:b/>
          <w:bCs/>
          <w:u w:val="single"/>
        </w:rPr>
        <w:t>Exhibit A-1, A-2, A-3 and A-4</w:t>
      </w:r>
      <w:r>
        <w:t>, are hereby adopted and approved.</w:t>
      </w:r>
    </w:p>
    <w:p w14:paraId="13404D6F" w14:textId="77777777" w:rsidR="000D1A30" w:rsidRDefault="000D1A30">
      <w:pPr>
        <w:ind w:firstLine="720"/>
        <w:jc w:val="both"/>
      </w:pPr>
    </w:p>
    <w:p w14:paraId="24E75C4A" w14:textId="77777777" w:rsidR="000D1A30" w:rsidRDefault="00DF353B">
      <w:pPr>
        <w:ind w:firstLine="720"/>
        <w:jc w:val="both"/>
      </w:pPr>
      <w:r>
        <w:rPr>
          <w:b/>
          <w:bCs/>
        </w:rPr>
        <w:t>RESOLVED FURTHER</w:t>
      </w:r>
      <w:r>
        <w:t xml:space="preserve">, to approve that the number of shares reserved for issuance under the Plan is </w:t>
      </w:r>
      <w:r>
        <w:rPr>
          <w:highlight w:val="yellow"/>
        </w:rPr>
        <w:t>[_____________]</w:t>
      </w:r>
      <w:r>
        <w:t xml:space="preserve"> Ordinary Shares of the Company</w:t>
      </w:r>
      <w:r>
        <w:rPr>
          <w:szCs w:val="22"/>
        </w:rPr>
        <w:t>.</w:t>
      </w:r>
      <w:r>
        <w:t xml:space="preserve"> </w:t>
      </w:r>
    </w:p>
    <w:p w14:paraId="5ACC48DD" w14:textId="77777777" w:rsidR="000D1A30" w:rsidRDefault="000D1A30">
      <w:pPr>
        <w:jc w:val="both"/>
      </w:pPr>
    </w:p>
    <w:p w14:paraId="6A143926" w14:textId="77777777" w:rsidR="000D1A30" w:rsidRDefault="00DF353B">
      <w:pPr>
        <w:ind w:firstLine="720"/>
        <w:jc w:val="both"/>
      </w:pPr>
      <w:r>
        <w:rPr>
          <w:b/>
          <w:bCs/>
        </w:rPr>
        <w:t>RESOLVED</w:t>
      </w:r>
      <w:r>
        <w:t xml:space="preserve"> </w:t>
      </w:r>
      <w:r>
        <w:rPr>
          <w:b/>
          <w:bCs/>
        </w:rPr>
        <w:t>FURTHER</w:t>
      </w:r>
      <w:r>
        <w:rPr>
          <w:color w:val="000000"/>
          <w:lang w:eastAsia="en-GB"/>
        </w:rPr>
        <w:t>,</w:t>
      </w:r>
      <w:r>
        <w:t xml:space="preserve"> that the Company elects that options granted under the Appendix to Employees (as defined in the Appendix) will be designated as options subject the capital gain tax treatment, in accordance with the provisions of Section 102(b)(2) and options granted to </w:t>
      </w:r>
      <w:r>
        <w:rPr>
          <w:bCs/>
          <w:sz w:val="22"/>
        </w:rPr>
        <w:t xml:space="preserve">Non-Employees </w:t>
      </w:r>
      <w:r>
        <w:t xml:space="preserve">(as defined in the Appendix) will be designated as options subject to Section 3(i) of the </w:t>
      </w:r>
      <w:r>
        <w:rPr>
          <w:bCs/>
        </w:rPr>
        <w:t>Israeli Income Tax Ordinance</w:t>
      </w:r>
      <w:r>
        <w:t xml:space="preserve">. </w:t>
      </w:r>
    </w:p>
    <w:p w14:paraId="24E1521B" w14:textId="77777777" w:rsidR="000D1A30" w:rsidRDefault="000D1A30">
      <w:pPr>
        <w:jc w:val="both"/>
      </w:pPr>
    </w:p>
    <w:p w14:paraId="73178D7A" w14:textId="77777777" w:rsidR="000D1A30" w:rsidRDefault="00DF353B">
      <w:pPr>
        <w:ind w:firstLine="720"/>
        <w:jc w:val="both"/>
      </w:pPr>
      <w:bookmarkStart w:id="0" w:name="_DV_M248"/>
      <w:bookmarkStart w:id="1" w:name="_DV_M249"/>
      <w:bookmarkEnd w:id="0"/>
      <w:bookmarkEnd w:id="1"/>
      <w:r>
        <w:rPr>
          <w:b/>
          <w:bCs/>
        </w:rPr>
        <w:t>RESOLVED</w:t>
      </w:r>
      <w:r>
        <w:t xml:space="preserve"> </w:t>
      </w:r>
      <w:r>
        <w:rPr>
          <w:b/>
          <w:bCs/>
        </w:rPr>
        <w:t>FURTHER</w:t>
      </w:r>
      <w:r>
        <w:t xml:space="preserve">, to appoint </w:t>
      </w:r>
      <w:r>
        <w:rPr>
          <w:highlight w:val="yellow"/>
        </w:rPr>
        <w:t>ESOP Management &amp; Trust Services Ltd.</w:t>
      </w:r>
      <w:r>
        <w:t xml:space="preserve"> (the “</w:t>
      </w:r>
      <w:r>
        <w:rPr>
          <w:b/>
          <w:bCs/>
        </w:rPr>
        <w:t>Trustee</w:t>
      </w:r>
      <w:r>
        <w:t>”) to serve as trustee under the Plan for purpose of grants pursuant to the provisions of Section 102 of the Israeli Tax Ordinance</w:t>
      </w:r>
      <w:bookmarkStart w:id="2" w:name="_DV_M250"/>
      <w:bookmarkEnd w:id="2"/>
      <w:r>
        <w:t xml:space="preserve">. </w:t>
      </w:r>
    </w:p>
    <w:p w14:paraId="699B7FF2" w14:textId="77777777" w:rsidR="000D1A30" w:rsidRDefault="000D1A30">
      <w:pPr>
        <w:jc w:val="both"/>
      </w:pPr>
    </w:p>
    <w:p w14:paraId="0D886638" w14:textId="77777777" w:rsidR="000D1A30" w:rsidRDefault="00DF353B">
      <w:pPr>
        <w:ind w:firstLine="720"/>
        <w:jc w:val="both"/>
      </w:pPr>
      <w:r>
        <w:rPr>
          <w:b/>
          <w:bCs/>
        </w:rPr>
        <w:t>RESOLVED</w:t>
      </w:r>
      <w:r>
        <w:t xml:space="preserve"> </w:t>
      </w:r>
      <w:r>
        <w:rPr>
          <w:b/>
          <w:bCs/>
        </w:rPr>
        <w:t>FURTHER</w:t>
      </w:r>
      <w:r>
        <w:t xml:space="preserve">, that the Company is authorized to enter into, deliver and perform its obligations under a trust agreement with the Trustee, in the form attached hereto as </w:t>
      </w:r>
      <w:r>
        <w:rPr>
          <w:b/>
          <w:bCs/>
          <w:u w:val="single"/>
        </w:rPr>
        <w:t>Exhibit B</w:t>
      </w:r>
      <w:r>
        <w:t>.</w:t>
      </w:r>
    </w:p>
    <w:p w14:paraId="44C63D1F" w14:textId="77777777" w:rsidR="000D1A30" w:rsidRDefault="000D1A30">
      <w:pPr>
        <w:jc w:val="both"/>
      </w:pPr>
    </w:p>
    <w:p w14:paraId="0423B2BF" w14:textId="77777777" w:rsidR="000D1A30" w:rsidRDefault="00DF353B">
      <w:pPr>
        <w:jc w:val="both"/>
        <w:rPr>
          <w:b/>
          <w:u w:val="single"/>
        </w:rPr>
      </w:pPr>
      <w:r>
        <w:rPr>
          <w:b/>
          <w:u w:val="single"/>
        </w:rPr>
        <w:t>GENERAL AUTHORITY</w:t>
      </w:r>
    </w:p>
    <w:p w14:paraId="688CECC0" w14:textId="77777777" w:rsidR="000D1A30" w:rsidRDefault="000D1A30">
      <w:pPr>
        <w:ind w:left="720" w:right="720" w:hanging="720"/>
        <w:jc w:val="both"/>
        <w:rPr>
          <w:b/>
          <w:u w:val="single"/>
        </w:rPr>
      </w:pPr>
    </w:p>
    <w:p w14:paraId="016377C4" w14:textId="77777777" w:rsidR="000D1A30" w:rsidRDefault="00DF353B">
      <w:pPr>
        <w:ind w:firstLine="720"/>
        <w:jc w:val="both"/>
      </w:pPr>
      <w:r>
        <w:rPr>
          <w:b/>
          <w:bCs/>
        </w:rPr>
        <w:t xml:space="preserve">RESOLVED, </w:t>
      </w:r>
      <w:r>
        <w:t xml:space="preserve">that any of the officers or the directors of the Company are authorized, in the name and on behalf of the Company, to take all actions, as they deem necessary to carry out the foregoing resolutions, including without limitation to execute and deliver or cause to be executed and delivered all such other documents, instruments and agreements, to make such filings, in the name and on behalf of the Company, and to incur and to pay any fees and expenses. </w:t>
      </w:r>
    </w:p>
    <w:p w14:paraId="5FF650E6" w14:textId="77777777" w:rsidR="000D1A30" w:rsidRDefault="000D1A30">
      <w:pPr>
        <w:ind w:firstLine="720"/>
        <w:jc w:val="both"/>
      </w:pPr>
    </w:p>
    <w:p w14:paraId="078A7854" w14:textId="77777777" w:rsidR="000D1A30" w:rsidRDefault="00DF353B">
      <w:pPr>
        <w:ind w:firstLine="567"/>
        <w:jc w:val="both"/>
        <w:rPr>
          <w:b/>
          <w:bCs/>
          <w:szCs w:val="22"/>
        </w:rPr>
      </w:pPr>
      <w:r>
        <w:rPr>
          <w:b/>
          <w:bCs/>
        </w:rPr>
        <w:t xml:space="preserve">RESOLVED FURTHER, </w:t>
      </w:r>
      <w:r>
        <w:t>that all of the actions previously taken by any officer or any director of the Company in connection with the foregoing resolutions be, and they hereby are, approved and ratified in all respects.</w:t>
      </w:r>
      <w:r>
        <w:rPr>
          <w:b/>
          <w:bCs/>
          <w:szCs w:val="22"/>
        </w:rPr>
        <w:t xml:space="preserve"> </w:t>
      </w:r>
    </w:p>
    <w:p w14:paraId="6636D540" w14:textId="77777777" w:rsidR="000D1A30" w:rsidRDefault="000D1A30">
      <w:pPr>
        <w:pStyle w:val="BodyTextIndent"/>
        <w:ind w:left="0" w:firstLine="567"/>
        <w:rPr>
          <w:b/>
          <w:bCs/>
          <w:lang w:val="en-US"/>
        </w:rPr>
      </w:pPr>
    </w:p>
    <w:p w14:paraId="609FF4EE" w14:textId="77777777" w:rsidR="000D1A30" w:rsidRDefault="000D1A30">
      <w:pPr>
        <w:pStyle w:val="BodyTextIndent"/>
        <w:ind w:left="0" w:firstLine="567"/>
        <w:rPr>
          <w:b/>
          <w:bCs/>
          <w:lang w:val="en-US"/>
        </w:rPr>
      </w:pPr>
    </w:p>
    <w:p w14:paraId="738431E3" w14:textId="77777777" w:rsidR="000D1A30" w:rsidRDefault="000D1A30">
      <w:pPr>
        <w:pStyle w:val="BodyTextIndent"/>
        <w:ind w:left="0" w:firstLine="567"/>
        <w:rPr>
          <w:b/>
          <w:bCs/>
          <w:lang w:val="en-US"/>
        </w:rPr>
      </w:pPr>
    </w:p>
    <w:p w14:paraId="317AD318" w14:textId="77777777" w:rsidR="000D1A30" w:rsidRDefault="00DF353B">
      <w:pPr>
        <w:pStyle w:val="BodyTextIndent"/>
        <w:ind w:left="0" w:firstLine="567"/>
        <w:jc w:val="center"/>
        <w:rPr>
          <w:lang w:val="en-US"/>
        </w:rPr>
      </w:pPr>
      <w:r>
        <w:rPr>
          <w:lang w:val="en-US"/>
        </w:rPr>
        <w:t>[Signature page to follow]</w:t>
      </w:r>
    </w:p>
    <w:p w14:paraId="5000FC7C" w14:textId="77777777" w:rsidR="000D1A30" w:rsidRDefault="000D1A30">
      <w:pPr>
        <w:pStyle w:val="BodyTextIndent"/>
        <w:ind w:left="0" w:firstLine="567"/>
        <w:rPr>
          <w:b/>
          <w:bCs/>
          <w:lang w:val="en-US"/>
        </w:rPr>
      </w:pPr>
    </w:p>
    <w:p w14:paraId="50E306CC" w14:textId="77777777" w:rsidR="000D1A30" w:rsidRDefault="000D1A30">
      <w:pPr>
        <w:pStyle w:val="BodyTextIndent"/>
        <w:ind w:left="0" w:firstLine="567"/>
        <w:rPr>
          <w:b/>
          <w:bCs/>
          <w:lang w:val="en-US"/>
        </w:rPr>
      </w:pPr>
    </w:p>
    <w:p w14:paraId="3088B393" w14:textId="77777777" w:rsidR="000D1A30" w:rsidRDefault="000D1A30">
      <w:pPr>
        <w:pStyle w:val="BodyTextIndent"/>
        <w:ind w:left="0" w:firstLine="567"/>
        <w:rPr>
          <w:b/>
          <w:bCs/>
          <w:lang w:val="en-US"/>
        </w:rPr>
      </w:pPr>
    </w:p>
    <w:p w14:paraId="075DE4B9" w14:textId="77777777" w:rsidR="000D1A30" w:rsidRDefault="000D1A30">
      <w:pPr>
        <w:pStyle w:val="BodyTextIndent"/>
        <w:ind w:left="0" w:firstLine="567"/>
        <w:rPr>
          <w:b/>
          <w:bCs/>
          <w:lang w:val="en-US"/>
        </w:rPr>
      </w:pPr>
    </w:p>
    <w:p w14:paraId="381C4A46" w14:textId="77777777" w:rsidR="000D1A30" w:rsidRDefault="000D1A30">
      <w:pPr>
        <w:pStyle w:val="BodyTextIndent"/>
        <w:ind w:left="0" w:firstLine="567"/>
        <w:rPr>
          <w:b/>
          <w:bCs/>
          <w:lang w:val="en-US"/>
        </w:rPr>
      </w:pPr>
    </w:p>
    <w:p w14:paraId="305A3AB2" w14:textId="77777777" w:rsidR="000D1A30" w:rsidRDefault="000D1A30">
      <w:pPr>
        <w:pStyle w:val="BodyTextIndent"/>
        <w:ind w:left="0" w:firstLine="567"/>
        <w:rPr>
          <w:b/>
          <w:bCs/>
          <w:lang w:val="en-US"/>
        </w:rPr>
      </w:pPr>
    </w:p>
    <w:p w14:paraId="108A7B49" w14:textId="77777777" w:rsidR="000D1A30" w:rsidRDefault="000D1A30">
      <w:pPr>
        <w:pStyle w:val="BodyTextIndent"/>
        <w:ind w:left="0" w:firstLine="567"/>
        <w:rPr>
          <w:b/>
          <w:bCs/>
          <w:lang w:val="en-US"/>
        </w:rPr>
      </w:pPr>
    </w:p>
    <w:p w14:paraId="2BA850F9" w14:textId="77777777" w:rsidR="000D1A30" w:rsidRDefault="000D1A30">
      <w:pPr>
        <w:pStyle w:val="BodyTextIndent"/>
        <w:ind w:left="0" w:firstLine="567"/>
        <w:rPr>
          <w:b/>
          <w:bCs/>
          <w:lang w:val="en-US"/>
        </w:rPr>
      </w:pPr>
    </w:p>
    <w:p w14:paraId="733735CC" w14:textId="77777777" w:rsidR="000D1A30" w:rsidRDefault="000D1A30">
      <w:pPr>
        <w:pStyle w:val="BodyTextIndent"/>
        <w:ind w:left="0" w:firstLine="567"/>
        <w:rPr>
          <w:b/>
          <w:bCs/>
          <w:lang w:val="en-US"/>
        </w:rPr>
      </w:pPr>
    </w:p>
    <w:p w14:paraId="2817CF0B" w14:textId="77777777" w:rsidR="000D1A30" w:rsidRDefault="000D1A30">
      <w:pPr>
        <w:pStyle w:val="BodyTextIndent"/>
        <w:ind w:left="0" w:firstLine="567"/>
        <w:rPr>
          <w:b/>
          <w:bCs/>
          <w:lang w:val="en-US"/>
        </w:rPr>
      </w:pPr>
    </w:p>
    <w:p w14:paraId="346E9D42" w14:textId="77777777" w:rsidR="000D1A30" w:rsidRDefault="000D1A30">
      <w:pPr>
        <w:pStyle w:val="BodyTextIndent"/>
        <w:ind w:left="0" w:firstLine="567"/>
        <w:rPr>
          <w:b/>
          <w:bCs/>
          <w:lang w:val="en-US"/>
        </w:rPr>
      </w:pPr>
    </w:p>
    <w:p w14:paraId="1293B2AA" w14:textId="77777777" w:rsidR="000D1A30" w:rsidRDefault="000D1A30">
      <w:pPr>
        <w:pStyle w:val="BodyTextIndent"/>
        <w:ind w:left="0" w:firstLine="567"/>
        <w:rPr>
          <w:b/>
          <w:bCs/>
          <w:lang w:val="en-US"/>
        </w:rPr>
      </w:pPr>
    </w:p>
    <w:p w14:paraId="4739D463" w14:textId="77777777" w:rsidR="000D1A30" w:rsidRDefault="000D1A30">
      <w:pPr>
        <w:pStyle w:val="BodyTextIndent"/>
        <w:ind w:left="0" w:firstLine="567"/>
        <w:rPr>
          <w:b/>
          <w:bCs/>
          <w:lang w:val="en-US"/>
        </w:rPr>
      </w:pPr>
    </w:p>
    <w:p w14:paraId="1095AF63" w14:textId="77777777" w:rsidR="000D1A30" w:rsidRDefault="000D1A30">
      <w:pPr>
        <w:pStyle w:val="BodyTextIndent"/>
        <w:ind w:left="0" w:firstLine="567"/>
        <w:rPr>
          <w:b/>
          <w:bCs/>
          <w:lang w:val="en-US"/>
        </w:rPr>
      </w:pPr>
    </w:p>
    <w:p w14:paraId="59761F23" w14:textId="77777777" w:rsidR="000D1A30" w:rsidRDefault="000D1A30">
      <w:pPr>
        <w:pStyle w:val="BodyTextIndent"/>
        <w:ind w:left="0" w:firstLine="567"/>
        <w:rPr>
          <w:b/>
          <w:bCs/>
          <w:lang w:val="en-US"/>
        </w:rPr>
      </w:pPr>
    </w:p>
    <w:p w14:paraId="23956812" w14:textId="77777777" w:rsidR="000D1A30" w:rsidRDefault="000D1A30">
      <w:pPr>
        <w:pStyle w:val="BodyTextIndent"/>
        <w:ind w:left="0" w:firstLine="567"/>
        <w:rPr>
          <w:b/>
          <w:bCs/>
          <w:lang w:val="en-US"/>
        </w:rPr>
      </w:pPr>
    </w:p>
    <w:p w14:paraId="35C632A9" w14:textId="77777777" w:rsidR="000D1A30" w:rsidRDefault="000D1A30">
      <w:pPr>
        <w:pStyle w:val="BodyTextIndent"/>
        <w:ind w:left="0" w:firstLine="567"/>
        <w:rPr>
          <w:b/>
          <w:bCs/>
          <w:lang w:val="en-US"/>
        </w:rPr>
      </w:pPr>
    </w:p>
    <w:p w14:paraId="0F92591C" w14:textId="77777777" w:rsidR="000D1A30" w:rsidRDefault="000D1A30">
      <w:pPr>
        <w:pStyle w:val="BodyTextIndent"/>
        <w:ind w:left="0" w:firstLine="567"/>
        <w:rPr>
          <w:b/>
          <w:bCs/>
          <w:lang w:val="en-US"/>
        </w:rPr>
      </w:pPr>
    </w:p>
    <w:p w14:paraId="7C71473B" w14:textId="77777777" w:rsidR="000D1A30" w:rsidRDefault="000D1A30">
      <w:pPr>
        <w:pStyle w:val="BodyTextIndent"/>
        <w:ind w:left="0" w:firstLine="567"/>
        <w:rPr>
          <w:b/>
          <w:bCs/>
          <w:lang w:val="en-US"/>
        </w:rPr>
      </w:pPr>
    </w:p>
    <w:p w14:paraId="20C6AE41" w14:textId="77777777" w:rsidR="000D1A30" w:rsidRDefault="000D1A30">
      <w:pPr>
        <w:pStyle w:val="BodyTextIndent"/>
        <w:ind w:left="0" w:firstLine="567"/>
        <w:rPr>
          <w:b/>
          <w:bCs/>
          <w:lang w:val="en-US"/>
        </w:rPr>
      </w:pPr>
    </w:p>
    <w:p w14:paraId="0117A4FF" w14:textId="77777777" w:rsidR="000D1A30" w:rsidRDefault="000D1A30">
      <w:pPr>
        <w:pStyle w:val="BodyTextIndent"/>
        <w:ind w:left="0" w:firstLine="567"/>
        <w:rPr>
          <w:b/>
          <w:bCs/>
          <w:lang w:val="en-US"/>
        </w:rPr>
      </w:pPr>
    </w:p>
    <w:p w14:paraId="032172A7" w14:textId="77777777" w:rsidR="000D1A30" w:rsidRDefault="000D1A30">
      <w:pPr>
        <w:pStyle w:val="BodyTextIndent"/>
        <w:ind w:left="0" w:firstLine="567"/>
        <w:rPr>
          <w:b/>
          <w:bCs/>
          <w:lang w:val="en-US"/>
        </w:rPr>
      </w:pPr>
    </w:p>
    <w:p w14:paraId="353823FF" w14:textId="77777777" w:rsidR="000D1A30" w:rsidRDefault="000D1A30">
      <w:pPr>
        <w:pStyle w:val="BodyTextIndent"/>
        <w:ind w:left="0" w:firstLine="567"/>
        <w:rPr>
          <w:b/>
          <w:bCs/>
          <w:lang w:val="en-US"/>
        </w:rPr>
      </w:pPr>
    </w:p>
    <w:p w14:paraId="45C9BCDF" w14:textId="77777777" w:rsidR="000D1A30" w:rsidRDefault="000D1A30">
      <w:pPr>
        <w:pStyle w:val="BodyTextIndent"/>
        <w:ind w:left="0" w:firstLine="567"/>
        <w:rPr>
          <w:szCs w:val="22"/>
        </w:rPr>
      </w:pPr>
    </w:p>
    <w:p w14:paraId="675F9049" w14:textId="77777777" w:rsidR="000D1A30" w:rsidRDefault="00DF353B">
      <w:pPr>
        <w:ind w:firstLine="720"/>
        <w:jc w:val="both"/>
      </w:pPr>
      <w:r>
        <w:rPr>
          <w:b/>
          <w:bCs/>
        </w:rPr>
        <w:t>IN WITNESS THEREOF</w:t>
      </w:r>
      <w:r>
        <w:t>, the undersigned, comprising all the members of the Board, do hereby consent to the adoption of the foregoing resolutions, which may be executed in one or more counterparts, each of which shall be deemed an original, and all of which shall constitute one and the same instrument. This resolution shall be effective as of the date first mentioned above.</w:t>
      </w:r>
    </w:p>
    <w:p w14:paraId="582F3DCC" w14:textId="77777777" w:rsidR="000D1A30" w:rsidRDefault="000D1A30">
      <w:pPr>
        <w:ind w:firstLine="720"/>
        <w:jc w:val="both"/>
      </w:pPr>
    </w:p>
    <w:tbl>
      <w:tblPr>
        <w:tblW w:w="0" w:type="auto"/>
        <w:tblInd w:w="567" w:type="dxa"/>
        <w:tblLook w:val="04A0" w:firstRow="1" w:lastRow="0" w:firstColumn="1" w:lastColumn="0" w:noHBand="0" w:noVBand="1"/>
      </w:tblPr>
      <w:tblGrid>
        <w:gridCol w:w="4505"/>
        <w:gridCol w:w="4504"/>
      </w:tblGrid>
      <w:tr w:rsidR="000D1A30" w14:paraId="5C27B069" w14:textId="77777777">
        <w:tc>
          <w:tcPr>
            <w:tcW w:w="4645" w:type="dxa"/>
            <w:shd w:val="clear" w:color="auto" w:fill="auto"/>
          </w:tcPr>
          <w:p w14:paraId="2762AFED" w14:textId="77777777" w:rsidR="000D1A30" w:rsidRDefault="000D1A30">
            <w:pPr>
              <w:pStyle w:val="First"/>
              <w:bidi w:val="0"/>
              <w:rPr>
                <w:sz w:val="22"/>
                <w:szCs w:val="22"/>
              </w:rPr>
            </w:pPr>
          </w:p>
          <w:p w14:paraId="1003D165" w14:textId="77777777" w:rsidR="000D1A30" w:rsidRDefault="00DF353B">
            <w:pPr>
              <w:pStyle w:val="First"/>
              <w:bidi w:val="0"/>
              <w:jc w:val="center"/>
              <w:rPr>
                <w:sz w:val="22"/>
                <w:szCs w:val="22"/>
              </w:rPr>
            </w:pPr>
            <w:r>
              <w:rPr>
                <w:b/>
                <w:bCs/>
                <w:sz w:val="22"/>
                <w:szCs w:val="22"/>
              </w:rPr>
              <w:t>________________________</w:t>
            </w:r>
          </w:p>
          <w:p w14:paraId="7D84CF4D" w14:textId="77777777" w:rsidR="000D1A30" w:rsidRDefault="000D1A30">
            <w:pPr>
              <w:jc w:val="center"/>
              <w:rPr>
                <w:sz w:val="22"/>
                <w:szCs w:val="22"/>
              </w:rPr>
            </w:pPr>
          </w:p>
        </w:tc>
        <w:tc>
          <w:tcPr>
            <w:tcW w:w="4645" w:type="dxa"/>
            <w:shd w:val="clear" w:color="auto" w:fill="auto"/>
          </w:tcPr>
          <w:p w14:paraId="6B11C557" w14:textId="77777777" w:rsidR="000D1A30" w:rsidRDefault="000D1A30">
            <w:pPr>
              <w:pStyle w:val="First"/>
              <w:bidi w:val="0"/>
              <w:jc w:val="center"/>
              <w:rPr>
                <w:b/>
                <w:bCs/>
                <w:sz w:val="22"/>
                <w:szCs w:val="22"/>
              </w:rPr>
            </w:pPr>
          </w:p>
          <w:p w14:paraId="23CC8AED" w14:textId="77777777" w:rsidR="000D1A30" w:rsidRDefault="00DF353B">
            <w:pPr>
              <w:pStyle w:val="First"/>
              <w:bidi w:val="0"/>
              <w:jc w:val="center"/>
              <w:rPr>
                <w:sz w:val="22"/>
                <w:szCs w:val="22"/>
              </w:rPr>
            </w:pPr>
            <w:r>
              <w:rPr>
                <w:b/>
                <w:bCs/>
                <w:sz w:val="22"/>
                <w:szCs w:val="22"/>
              </w:rPr>
              <w:t>________________________</w:t>
            </w:r>
          </w:p>
          <w:p w14:paraId="78FA645C" w14:textId="77777777" w:rsidR="000D1A30" w:rsidRDefault="000D1A30">
            <w:pPr>
              <w:jc w:val="center"/>
              <w:rPr>
                <w:sz w:val="22"/>
                <w:szCs w:val="22"/>
                <w:rtl/>
              </w:rPr>
            </w:pPr>
          </w:p>
          <w:p w14:paraId="38E91B74" w14:textId="77777777" w:rsidR="000D1A30" w:rsidRDefault="000D1A30">
            <w:pPr>
              <w:jc w:val="center"/>
              <w:rPr>
                <w:sz w:val="22"/>
                <w:szCs w:val="22"/>
                <w:rtl/>
              </w:rPr>
            </w:pPr>
          </w:p>
          <w:p w14:paraId="61CEF8B2" w14:textId="77777777" w:rsidR="000D1A30" w:rsidRDefault="000D1A30">
            <w:pPr>
              <w:pStyle w:val="First"/>
              <w:bidi w:val="0"/>
              <w:ind w:left="0" w:firstLine="0"/>
              <w:rPr>
                <w:sz w:val="22"/>
                <w:szCs w:val="22"/>
              </w:rPr>
            </w:pPr>
          </w:p>
        </w:tc>
      </w:tr>
      <w:tr w:rsidR="000D1A30" w14:paraId="5A96E512" w14:textId="77777777">
        <w:tc>
          <w:tcPr>
            <w:tcW w:w="4645" w:type="dxa"/>
            <w:shd w:val="clear" w:color="auto" w:fill="auto"/>
          </w:tcPr>
          <w:p w14:paraId="79A78D9F" w14:textId="77777777" w:rsidR="000D1A30" w:rsidRDefault="00DF353B">
            <w:pPr>
              <w:pStyle w:val="First"/>
              <w:bidi w:val="0"/>
              <w:jc w:val="center"/>
              <w:rPr>
                <w:sz w:val="22"/>
                <w:szCs w:val="22"/>
              </w:rPr>
            </w:pPr>
            <w:r>
              <w:rPr>
                <w:b/>
                <w:bCs/>
                <w:sz w:val="22"/>
                <w:szCs w:val="22"/>
              </w:rPr>
              <w:t>________________________</w:t>
            </w:r>
          </w:p>
          <w:p w14:paraId="2BF11907" w14:textId="77777777" w:rsidR="000D1A30" w:rsidRDefault="000D1A30">
            <w:pPr>
              <w:pStyle w:val="First"/>
              <w:bidi w:val="0"/>
              <w:ind w:left="0" w:firstLine="0"/>
              <w:jc w:val="center"/>
              <w:rPr>
                <w:b/>
                <w:bCs/>
                <w:sz w:val="22"/>
                <w:szCs w:val="22"/>
              </w:rPr>
            </w:pPr>
          </w:p>
        </w:tc>
        <w:tc>
          <w:tcPr>
            <w:tcW w:w="4645" w:type="dxa"/>
            <w:shd w:val="clear" w:color="auto" w:fill="auto"/>
          </w:tcPr>
          <w:p w14:paraId="5B59FC94" w14:textId="77777777" w:rsidR="000D1A30" w:rsidRDefault="00DF353B">
            <w:pPr>
              <w:pStyle w:val="First"/>
              <w:bidi w:val="0"/>
              <w:jc w:val="center"/>
              <w:rPr>
                <w:sz w:val="22"/>
                <w:szCs w:val="22"/>
              </w:rPr>
            </w:pPr>
            <w:r>
              <w:rPr>
                <w:b/>
                <w:bCs/>
                <w:sz w:val="22"/>
                <w:szCs w:val="22"/>
              </w:rPr>
              <w:t>________________________</w:t>
            </w:r>
          </w:p>
          <w:p w14:paraId="263BAE35" w14:textId="77777777" w:rsidR="000D1A30" w:rsidRDefault="000D1A30">
            <w:pPr>
              <w:pStyle w:val="First"/>
              <w:bidi w:val="0"/>
              <w:ind w:left="0" w:firstLine="0"/>
              <w:jc w:val="center"/>
              <w:rPr>
                <w:sz w:val="22"/>
                <w:szCs w:val="22"/>
              </w:rPr>
            </w:pPr>
          </w:p>
        </w:tc>
      </w:tr>
    </w:tbl>
    <w:p w14:paraId="69DEB7C2" w14:textId="77777777" w:rsidR="000D1A30" w:rsidRDefault="000D1A30">
      <w:pPr>
        <w:jc w:val="right"/>
        <w:rPr>
          <w:i/>
          <w:iCs/>
          <w:u w:val="single"/>
          <w:rtl/>
        </w:rPr>
      </w:pPr>
    </w:p>
    <w:p w14:paraId="203C6D9D" w14:textId="77777777" w:rsidR="000D1A30" w:rsidRDefault="00DF353B">
      <w:pPr>
        <w:jc w:val="center"/>
        <w:rPr>
          <w:sz w:val="22"/>
          <w:szCs w:val="22"/>
        </w:rPr>
      </w:pPr>
      <w:r>
        <w:rPr>
          <w:sz w:val="22"/>
          <w:szCs w:val="22"/>
        </w:rPr>
        <w:t>[</w:t>
      </w:r>
      <w:r>
        <w:rPr>
          <w:i/>
          <w:iCs/>
          <w:sz w:val="22"/>
          <w:szCs w:val="22"/>
        </w:rPr>
        <w:t>____________ Ltd. // Board Resolution // // __________ // Adoption of 20[_] Equity Incentive Plan</w:t>
      </w:r>
      <w:r>
        <w:rPr>
          <w:sz w:val="22"/>
          <w:szCs w:val="22"/>
        </w:rPr>
        <w:t>]</w:t>
      </w:r>
    </w:p>
    <w:p w14:paraId="4945D53C" w14:textId="77777777" w:rsidR="000D1A30" w:rsidRDefault="000D1A30">
      <w:pPr>
        <w:pStyle w:val="BodyTextIndent"/>
        <w:spacing w:before="240"/>
        <w:ind w:left="0"/>
        <w:rPr>
          <w:lang w:val="en-US"/>
        </w:rPr>
      </w:pPr>
    </w:p>
    <w:p w14:paraId="1712374A" w14:textId="77777777" w:rsidR="000D1A30" w:rsidRDefault="000D1A30">
      <w:pPr>
        <w:pStyle w:val="BodyTextIndent"/>
        <w:spacing w:before="240"/>
        <w:ind w:left="0"/>
        <w:rPr>
          <w:lang w:val="en-US"/>
        </w:rPr>
      </w:pPr>
    </w:p>
    <w:p w14:paraId="30DFD937" w14:textId="77777777" w:rsidR="000D1A30" w:rsidRDefault="000D1A30">
      <w:pPr>
        <w:pStyle w:val="BodyTextIndent"/>
        <w:spacing w:before="240"/>
        <w:ind w:left="0"/>
        <w:jc w:val="center"/>
        <w:rPr>
          <w:lang w:val="en-US"/>
        </w:rPr>
      </w:pPr>
    </w:p>
    <w:p w14:paraId="169CE9D3" w14:textId="77777777" w:rsidR="000D1A30" w:rsidRDefault="000D1A30">
      <w:pPr>
        <w:pStyle w:val="BodyTextIndent"/>
        <w:spacing w:before="240"/>
        <w:ind w:left="0"/>
        <w:jc w:val="center"/>
        <w:rPr>
          <w:lang w:val="en-US"/>
        </w:rPr>
      </w:pPr>
    </w:p>
    <w:p w14:paraId="1CC30B23" w14:textId="77777777" w:rsidR="000D1A30" w:rsidRDefault="000D1A30">
      <w:pPr>
        <w:pStyle w:val="BodyTextIndent"/>
        <w:spacing w:before="240"/>
        <w:ind w:left="0"/>
        <w:jc w:val="center"/>
        <w:rPr>
          <w:lang w:val="en-US"/>
        </w:rPr>
      </w:pPr>
    </w:p>
    <w:p w14:paraId="018EFC22" w14:textId="77777777" w:rsidR="000D1A30" w:rsidRDefault="000D1A30">
      <w:pPr>
        <w:pStyle w:val="BodyTextIndent"/>
        <w:spacing w:before="240"/>
        <w:ind w:left="0"/>
        <w:jc w:val="center"/>
        <w:rPr>
          <w:lang w:val="en-US"/>
        </w:rPr>
      </w:pPr>
    </w:p>
    <w:p w14:paraId="656B6397" w14:textId="77777777" w:rsidR="000D1A30" w:rsidRDefault="000D1A30">
      <w:pPr>
        <w:pStyle w:val="BodyTextIndent"/>
        <w:spacing w:before="240"/>
        <w:ind w:left="0"/>
        <w:jc w:val="center"/>
        <w:rPr>
          <w:lang w:val="en-US"/>
        </w:rPr>
      </w:pPr>
    </w:p>
    <w:p w14:paraId="63D87D62" w14:textId="77777777" w:rsidR="000D1A30" w:rsidRDefault="000D1A30">
      <w:pPr>
        <w:pStyle w:val="BodyTextIndent"/>
        <w:spacing w:before="240"/>
        <w:ind w:left="0"/>
        <w:jc w:val="center"/>
        <w:rPr>
          <w:lang w:val="en-US"/>
        </w:rPr>
      </w:pPr>
    </w:p>
    <w:p w14:paraId="034F02A1" w14:textId="77777777" w:rsidR="000D1A30" w:rsidRDefault="000D1A30">
      <w:pPr>
        <w:pStyle w:val="BodyTextIndent"/>
        <w:spacing w:before="240"/>
        <w:ind w:left="0"/>
        <w:jc w:val="center"/>
        <w:rPr>
          <w:lang w:val="en-US"/>
        </w:rPr>
      </w:pPr>
    </w:p>
    <w:p w14:paraId="09248ECB" w14:textId="77777777" w:rsidR="000D1A30" w:rsidRDefault="000D1A30">
      <w:pPr>
        <w:pStyle w:val="BodyTextIndent"/>
        <w:spacing w:before="240"/>
        <w:ind w:left="0"/>
        <w:jc w:val="center"/>
        <w:rPr>
          <w:lang w:val="en-US"/>
        </w:rPr>
      </w:pPr>
    </w:p>
    <w:p w14:paraId="5A86ACFB" w14:textId="77777777" w:rsidR="000D1A30" w:rsidRDefault="000D1A30">
      <w:pPr>
        <w:pStyle w:val="BodyTextIndent"/>
        <w:spacing w:before="240"/>
        <w:ind w:left="0"/>
        <w:jc w:val="center"/>
        <w:rPr>
          <w:lang w:val="en-US"/>
        </w:rPr>
      </w:pPr>
    </w:p>
    <w:p w14:paraId="7BA70298" w14:textId="77777777" w:rsidR="000D1A30" w:rsidRDefault="000D1A30">
      <w:pPr>
        <w:pStyle w:val="BodyTextIndent"/>
        <w:spacing w:before="240"/>
        <w:ind w:left="0"/>
        <w:jc w:val="center"/>
        <w:rPr>
          <w:lang w:val="en-US"/>
        </w:rPr>
      </w:pPr>
    </w:p>
    <w:p w14:paraId="511B87F0" w14:textId="77777777" w:rsidR="000D1A30" w:rsidRDefault="000D1A30">
      <w:pPr>
        <w:pStyle w:val="BodyTextIndent"/>
        <w:spacing w:before="240"/>
        <w:ind w:left="0"/>
        <w:jc w:val="center"/>
        <w:rPr>
          <w:lang w:val="en-US"/>
        </w:rPr>
      </w:pPr>
    </w:p>
    <w:p w14:paraId="283AF2CE" w14:textId="77777777" w:rsidR="000D1A30" w:rsidRDefault="00DF353B">
      <w:pPr>
        <w:pStyle w:val="BodyTextIndent"/>
        <w:spacing w:before="240"/>
        <w:ind w:left="0"/>
        <w:jc w:val="center"/>
        <w:rPr>
          <w:b/>
          <w:bCs/>
          <w:u w:val="single"/>
        </w:rPr>
      </w:pPr>
      <w:r>
        <w:rPr>
          <w:b/>
          <w:bCs/>
          <w:u w:val="single"/>
          <w:lang w:val="en-US"/>
        </w:rPr>
        <w:t>Exhibit A-1</w:t>
      </w:r>
    </w:p>
    <w:p w14:paraId="7881A2E6" w14:textId="77777777" w:rsidR="000D1A30" w:rsidRDefault="00DF353B">
      <w:pPr>
        <w:pStyle w:val="BodyTextIndent"/>
        <w:spacing w:before="240"/>
        <w:ind w:left="0"/>
        <w:jc w:val="center"/>
        <w:rPr>
          <w:b/>
          <w:bCs/>
          <w:u w:val="single"/>
        </w:rPr>
      </w:pPr>
      <w:r>
        <w:rPr>
          <w:b/>
          <w:bCs/>
          <w:u w:val="single"/>
          <w:lang w:val="en-US"/>
        </w:rPr>
        <w:t>Exhibit A-2</w:t>
      </w:r>
    </w:p>
    <w:p w14:paraId="20533822" w14:textId="77777777" w:rsidR="000D1A30" w:rsidRDefault="00DF353B">
      <w:pPr>
        <w:pStyle w:val="BodyTextIndent"/>
        <w:spacing w:before="240"/>
        <w:ind w:left="0"/>
        <w:jc w:val="center"/>
        <w:rPr>
          <w:b/>
          <w:bCs/>
          <w:u w:val="single"/>
        </w:rPr>
      </w:pPr>
      <w:r>
        <w:rPr>
          <w:b/>
          <w:bCs/>
          <w:u w:val="single"/>
          <w:lang w:val="en-US"/>
        </w:rPr>
        <w:t>Exhibit A-3</w:t>
      </w:r>
    </w:p>
    <w:p w14:paraId="339D3D74" w14:textId="77777777" w:rsidR="000D1A30" w:rsidRDefault="00DF353B">
      <w:pPr>
        <w:pStyle w:val="BodyTextIndent"/>
        <w:spacing w:before="240"/>
        <w:ind w:left="0"/>
        <w:jc w:val="center"/>
        <w:rPr>
          <w:b/>
          <w:bCs/>
          <w:u w:val="single"/>
        </w:rPr>
      </w:pPr>
      <w:r>
        <w:rPr>
          <w:b/>
          <w:bCs/>
          <w:u w:val="single"/>
          <w:lang w:val="en-US"/>
        </w:rPr>
        <w:t>Exhibit A-4</w:t>
      </w:r>
    </w:p>
    <w:p w14:paraId="324B6176" w14:textId="77777777" w:rsidR="000D1A30" w:rsidRDefault="00DF353B">
      <w:pPr>
        <w:pStyle w:val="BodyTextIndent"/>
        <w:spacing w:before="240"/>
        <w:ind w:left="0"/>
        <w:jc w:val="center"/>
        <w:rPr>
          <w:b/>
          <w:bCs/>
          <w:u w:val="single"/>
          <w:lang w:val="en-US"/>
        </w:rPr>
      </w:pPr>
      <w:r>
        <w:rPr>
          <w:b/>
          <w:bCs/>
          <w:u w:val="single"/>
          <w:lang w:val="en-US"/>
        </w:rPr>
        <w:t>Exhibit B</w:t>
      </w:r>
    </w:p>
    <w:p w14:paraId="10E6A8F0" w14:textId="77777777" w:rsidR="000D1A30" w:rsidRDefault="000D1A30">
      <w:pPr>
        <w:ind w:firstLine="567"/>
        <w:jc w:val="center"/>
        <w:rPr>
          <w:b/>
          <w:bCs/>
          <w:szCs w:val="22"/>
          <w:u w:val="single"/>
          <w:lang w:val="x-none"/>
        </w:rPr>
      </w:pPr>
    </w:p>
    <w:sectPr w:rsidR="000D1A30">
      <w:headerReference w:type="default" r:id="rId9"/>
      <w:footerReference w:type="even" r:id="rId10"/>
      <w:foot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63CC" w14:textId="77777777" w:rsidR="000D1A30" w:rsidRDefault="00DF353B">
      <w:r>
        <w:separator/>
      </w:r>
    </w:p>
  </w:endnote>
  <w:endnote w:type="continuationSeparator" w:id="0">
    <w:p w14:paraId="1D775BA4" w14:textId="77777777" w:rsidR="000D1A30" w:rsidRDefault="00DF353B">
      <w:r>
        <w:continuationSeparator/>
      </w:r>
    </w:p>
  </w:endnote>
  <w:endnote w:type="continuationNotice" w:id="1">
    <w:p w14:paraId="2A25396D" w14:textId="77777777" w:rsidR="000D1A30" w:rsidRDefault="000D1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4F76" w14:textId="77777777" w:rsidR="000D1A30" w:rsidRDefault="00DF3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8F5BED" w14:textId="77777777" w:rsidR="000D1A30" w:rsidRDefault="000D1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EBF9" w14:textId="77777777" w:rsidR="000D1A30" w:rsidRDefault="000D1A30">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92FA" w14:textId="77777777" w:rsidR="000D1A30" w:rsidRDefault="00DF353B">
      <w:r>
        <w:separator/>
      </w:r>
    </w:p>
  </w:footnote>
  <w:footnote w:type="continuationSeparator" w:id="0">
    <w:p w14:paraId="5E275CA4" w14:textId="77777777" w:rsidR="000D1A30" w:rsidRDefault="00DF353B">
      <w:r>
        <w:continuationSeparator/>
      </w:r>
    </w:p>
  </w:footnote>
  <w:footnote w:type="continuationNotice" w:id="1">
    <w:p w14:paraId="2A347BD0" w14:textId="77777777" w:rsidR="000D1A30" w:rsidRDefault="000D1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8416" w14:textId="77777777" w:rsidR="000D1A30" w:rsidRDefault="000D1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4E4E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C5EEE"/>
    <w:multiLevelType w:val="singleLevel"/>
    <w:tmpl w:val="530A216C"/>
    <w:lvl w:ilvl="0">
      <w:start w:val="6"/>
      <w:numFmt w:val="decimal"/>
      <w:lvlText w:val="%1."/>
      <w:lvlJc w:val="left"/>
      <w:pPr>
        <w:tabs>
          <w:tab w:val="num" w:pos="1800"/>
        </w:tabs>
        <w:ind w:left="1800" w:right="1800" w:hanging="360"/>
      </w:pPr>
      <w:rPr>
        <w:rFonts w:hint="default"/>
      </w:rPr>
    </w:lvl>
  </w:abstractNum>
  <w:abstractNum w:abstractNumId="2" w15:restartNumberingAfterBreak="0">
    <w:nsid w:val="231059E3"/>
    <w:multiLevelType w:val="multilevel"/>
    <w:tmpl w:val="682AAFAC"/>
    <w:lvl w:ilvl="0">
      <w:start w:val="3"/>
      <w:numFmt w:val="decimal"/>
      <w:lvlText w:val="%1."/>
      <w:lvlJc w:val="left"/>
      <w:pPr>
        <w:tabs>
          <w:tab w:val="num" w:pos="368"/>
        </w:tabs>
        <w:ind w:left="368" w:right="368" w:hanging="368"/>
      </w:pPr>
      <w:rPr>
        <w:rFonts w:hint="default"/>
        <w:u w:val="single"/>
      </w:rPr>
    </w:lvl>
    <w:lvl w:ilvl="1">
      <w:start w:val="4"/>
      <w:numFmt w:val="decimal"/>
      <w:lvlText w:val="%1.%2."/>
      <w:lvlJc w:val="left"/>
      <w:pPr>
        <w:tabs>
          <w:tab w:val="num" w:pos="1808"/>
        </w:tabs>
        <w:ind w:left="1808" w:right="1808" w:hanging="368"/>
      </w:pPr>
      <w:rPr>
        <w:rFonts w:hint="default"/>
        <w:u w:val="single"/>
      </w:rPr>
    </w:lvl>
    <w:lvl w:ilvl="2">
      <w:start w:val="1"/>
      <w:numFmt w:val="decimal"/>
      <w:lvlText w:val="%1.%2.%3."/>
      <w:lvlJc w:val="left"/>
      <w:pPr>
        <w:tabs>
          <w:tab w:val="num" w:pos="3600"/>
        </w:tabs>
        <w:ind w:left="3600" w:right="3600" w:hanging="720"/>
      </w:pPr>
      <w:rPr>
        <w:rFonts w:hint="default"/>
        <w:u w:val="single"/>
      </w:rPr>
    </w:lvl>
    <w:lvl w:ilvl="3">
      <w:start w:val="1"/>
      <w:numFmt w:val="decimal"/>
      <w:lvlText w:val="%1.%2.%3.%4."/>
      <w:lvlJc w:val="left"/>
      <w:pPr>
        <w:tabs>
          <w:tab w:val="num" w:pos="5040"/>
        </w:tabs>
        <w:ind w:left="5040" w:right="5040" w:hanging="720"/>
      </w:pPr>
      <w:rPr>
        <w:rFonts w:hint="default"/>
        <w:u w:val="single"/>
      </w:rPr>
    </w:lvl>
    <w:lvl w:ilvl="4">
      <w:start w:val="1"/>
      <w:numFmt w:val="decimal"/>
      <w:lvlText w:val="%1.%2.%3.%4.%5."/>
      <w:lvlJc w:val="left"/>
      <w:pPr>
        <w:tabs>
          <w:tab w:val="num" w:pos="6840"/>
        </w:tabs>
        <w:ind w:left="6840" w:right="6840" w:hanging="1080"/>
      </w:pPr>
      <w:rPr>
        <w:rFonts w:hint="default"/>
        <w:u w:val="single"/>
      </w:rPr>
    </w:lvl>
    <w:lvl w:ilvl="5">
      <w:start w:val="1"/>
      <w:numFmt w:val="decimal"/>
      <w:lvlText w:val="%1.%2.%3.%4.%5.%6."/>
      <w:lvlJc w:val="left"/>
      <w:pPr>
        <w:tabs>
          <w:tab w:val="num" w:pos="8280"/>
        </w:tabs>
        <w:ind w:left="8280" w:right="8280" w:hanging="1080"/>
      </w:pPr>
      <w:rPr>
        <w:rFonts w:hint="default"/>
        <w:u w:val="single"/>
      </w:rPr>
    </w:lvl>
    <w:lvl w:ilvl="6">
      <w:start w:val="1"/>
      <w:numFmt w:val="decimal"/>
      <w:lvlText w:val="%1.%2.%3.%4.%5.%6.%7."/>
      <w:lvlJc w:val="left"/>
      <w:pPr>
        <w:tabs>
          <w:tab w:val="num" w:pos="10080"/>
        </w:tabs>
        <w:ind w:left="10080" w:right="10080" w:hanging="1440"/>
      </w:pPr>
      <w:rPr>
        <w:rFonts w:hint="default"/>
        <w:u w:val="single"/>
      </w:rPr>
    </w:lvl>
    <w:lvl w:ilvl="7">
      <w:start w:val="1"/>
      <w:numFmt w:val="decimal"/>
      <w:lvlText w:val="%1.%2.%3.%4.%5.%6.%7.%8."/>
      <w:lvlJc w:val="left"/>
      <w:pPr>
        <w:tabs>
          <w:tab w:val="num" w:pos="11520"/>
        </w:tabs>
        <w:ind w:left="11520" w:right="11520" w:hanging="1440"/>
      </w:pPr>
      <w:rPr>
        <w:rFonts w:hint="default"/>
        <w:u w:val="single"/>
      </w:rPr>
    </w:lvl>
    <w:lvl w:ilvl="8">
      <w:start w:val="1"/>
      <w:numFmt w:val="decimal"/>
      <w:lvlText w:val="%1.%2.%3.%4.%5.%6.%7.%8.%9."/>
      <w:lvlJc w:val="left"/>
      <w:pPr>
        <w:tabs>
          <w:tab w:val="num" w:pos="13320"/>
        </w:tabs>
        <w:ind w:left="13320" w:right="13320" w:hanging="1800"/>
      </w:pPr>
      <w:rPr>
        <w:rFonts w:hint="default"/>
        <w:u w:val="single"/>
      </w:rPr>
    </w:lvl>
  </w:abstractNum>
  <w:abstractNum w:abstractNumId="3" w15:restartNumberingAfterBreak="0">
    <w:nsid w:val="290F4D8B"/>
    <w:multiLevelType w:val="singleLevel"/>
    <w:tmpl w:val="0CC4266A"/>
    <w:lvl w:ilvl="0">
      <w:start w:val="4"/>
      <w:numFmt w:val="decimal"/>
      <w:lvlText w:val="%1."/>
      <w:lvlJc w:val="left"/>
      <w:pPr>
        <w:tabs>
          <w:tab w:val="num" w:pos="2160"/>
        </w:tabs>
        <w:ind w:left="2160" w:right="2160" w:hanging="720"/>
      </w:pPr>
      <w:rPr>
        <w:rFonts w:hint="default"/>
      </w:rPr>
    </w:lvl>
  </w:abstractNum>
  <w:abstractNum w:abstractNumId="4" w15:restartNumberingAfterBreak="0">
    <w:nsid w:val="32B6389B"/>
    <w:multiLevelType w:val="hybridMultilevel"/>
    <w:tmpl w:val="AC20F0E0"/>
    <w:lvl w:ilvl="0" w:tplc="17FC7D2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B1713C4"/>
    <w:multiLevelType w:val="multilevel"/>
    <w:tmpl w:val="73CE45AA"/>
    <w:lvl w:ilvl="0">
      <w:start w:val="1"/>
      <w:numFmt w:val="decimal"/>
      <w:pStyle w:val="a"/>
      <w:lvlText w:val="%1."/>
      <w:lvlJc w:val="right"/>
      <w:pPr>
        <w:tabs>
          <w:tab w:val="num" w:pos="737"/>
        </w:tabs>
        <w:ind w:left="737" w:hanging="567"/>
      </w:pPr>
      <w:rPr>
        <w:b w:val="0"/>
        <w:bCs w:val="0"/>
        <w:i w:val="0"/>
        <w:iCs w:val="0"/>
        <w:strike w:val="0"/>
        <w:dstrike w:val="0"/>
        <w:u w:val="none"/>
        <w:effect w:val="none"/>
      </w:rPr>
    </w:lvl>
    <w:lvl w:ilvl="1">
      <w:start w:val="1"/>
      <w:numFmt w:val="lowerLetter"/>
      <w:lvlText w:val="%2)"/>
      <w:lvlJc w:val="left"/>
      <w:pPr>
        <w:tabs>
          <w:tab w:val="num" w:pos="1437"/>
        </w:tabs>
        <w:ind w:left="1437" w:hanging="360"/>
      </w:pPr>
      <w:rPr>
        <w:b w:val="0"/>
        <w:bCs w:val="0"/>
        <w:i w:val="0"/>
        <w:iCs w:val="0"/>
        <w:strike w:val="0"/>
        <w:dstrike w:val="0"/>
        <w:u w:val="none"/>
        <w:effect w:val="none"/>
      </w:r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decimal"/>
      <w:lvlText w:val="%1.%2.%3.%4.%5."/>
      <w:lvlJc w:val="center"/>
      <w:pPr>
        <w:tabs>
          <w:tab w:val="num" w:pos="4309"/>
        </w:tabs>
        <w:ind w:left="4309" w:hanging="1077"/>
      </w:pPr>
    </w:lvl>
    <w:lvl w:ilvl="5">
      <w:start w:val="1"/>
      <w:numFmt w:val="decimal"/>
      <w:lvlText w:val="%1.%2.%3.%4.%5.%6."/>
      <w:lvlJc w:val="center"/>
      <w:pPr>
        <w:tabs>
          <w:tab w:val="num" w:pos="6577"/>
        </w:tabs>
        <w:ind w:left="6577" w:hanging="964"/>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6" w15:restartNumberingAfterBreak="0">
    <w:nsid w:val="3F487DFB"/>
    <w:multiLevelType w:val="singleLevel"/>
    <w:tmpl w:val="8D1CFAF2"/>
    <w:lvl w:ilvl="0">
      <w:start w:val="4"/>
      <w:numFmt w:val="decimal"/>
      <w:lvlText w:val="%1."/>
      <w:lvlJc w:val="left"/>
      <w:pPr>
        <w:tabs>
          <w:tab w:val="num" w:pos="1800"/>
        </w:tabs>
        <w:ind w:left="1800" w:right="1800" w:hanging="360"/>
      </w:pPr>
      <w:rPr>
        <w:rFonts w:hint="default"/>
      </w:rPr>
    </w:lvl>
  </w:abstractNum>
  <w:abstractNum w:abstractNumId="7" w15:restartNumberingAfterBreak="0">
    <w:nsid w:val="506E53DF"/>
    <w:multiLevelType w:val="multilevel"/>
    <w:tmpl w:val="D7C4299C"/>
    <w:lvl w:ilvl="0">
      <w:start w:val="5"/>
      <w:numFmt w:val="decimal"/>
      <w:lvlText w:val="%1."/>
      <w:lvlJc w:val="left"/>
      <w:pPr>
        <w:tabs>
          <w:tab w:val="num" w:pos="368"/>
        </w:tabs>
        <w:ind w:left="368" w:right="368" w:hanging="368"/>
      </w:pPr>
      <w:rPr>
        <w:rFonts w:hint="default"/>
        <w:u w:val="single"/>
      </w:rPr>
    </w:lvl>
    <w:lvl w:ilvl="1">
      <w:start w:val="6"/>
      <w:numFmt w:val="decimal"/>
      <w:lvlText w:val="%1.%2."/>
      <w:lvlJc w:val="left"/>
      <w:pPr>
        <w:tabs>
          <w:tab w:val="num" w:pos="1808"/>
        </w:tabs>
        <w:ind w:left="1808" w:right="1808" w:hanging="368"/>
      </w:pPr>
      <w:rPr>
        <w:rFonts w:hint="default"/>
        <w:u w:val="single"/>
      </w:rPr>
    </w:lvl>
    <w:lvl w:ilvl="2">
      <w:start w:val="1"/>
      <w:numFmt w:val="decimal"/>
      <w:lvlText w:val="%1.%2.%3."/>
      <w:lvlJc w:val="left"/>
      <w:pPr>
        <w:tabs>
          <w:tab w:val="num" w:pos="3600"/>
        </w:tabs>
        <w:ind w:left="3600" w:right="3600" w:hanging="720"/>
      </w:pPr>
      <w:rPr>
        <w:rFonts w:hint="default"/>
        <w:u w:val="single"/>
      </w:rPr>
    </w:lvl>
    <w:lvl w:ilvl="3">
      <w:start w:val="1"/>
      <w:numFmt w:val="decimal"/>
      <w:lvlText w:val="%1.%2.%3.%4."/>
      <w:lvlJc w:val="left"/>
      <w:pPr>
        <w:tabs>
          <w:tab w:val="num" w:pos="5040"/>
        </w:tabs>
        <w:ind w:left="5040" w:right="5040" w:hanging="720"/>
      </w:pPr>
      <w:rPr>
        <w:rFonts w:hint="default"/>
        <w:u w:val="single"/>
      </w:rPr>
    </w:lvl>
    <w:lvl w:ilvl="4">
      <w:start w:val="1"/>
      <w:numFmt w:val="decimal"/>
      <w:lvlText w:val="%1.%2.%3.%4.%5."/>
      <w:lvlJc w:val="left"/>
      <w:pPr>
        <w:tabs>
          <w:tab w:val="num" w:pos="6840"/>
        </w:tabs>
        <w:ind w:left="6840" w:right="6840" w:hanging="1080"/>
      </w:pPr>
      <w:rPr>
        <w:rFonts w:hint="default"/>
        <w:u w:val="single"/>
      </w:rPr>
    </w:lvl>
    <w:lvl w:ilvl="5">
      <w:start w:val="1"/>
      <w:numFmt w:val="decimal"/>
      <w:lvlText w:val="%1.%2.%3.%4.%5.%6."/>
      <w:lvlJc w:val="left"/>
      <w:pPr>
        <w:tabs>
          <w:tab w:val="num" w:pos="8280"/>
        </w:tabs>
        <w:ind w:left="8280" w:right="8280" w:hanging="1080"/>
      </w:pPr>
      <w:rPr>
        <w:rFonts w:hint="default"/>
        <w:u w:val="single"/>
      </w:rPr>
    </w:lvl>
    <w:lvl w:ilvl="6">
      <w:start w:val="1"/>
      <w:numFmt w:val="decimal"/>
      <w:lvlText w:val="%1.%2.%3.%4.%5.%6.%7."/>
      <w:lvlJc w:val="left"/>
      <w:pPr>
        <w:tabs>
          <w:tab w:val="num" w:pos="10080"/>
        </w:tabs>
        <w:ind w:left="10080" w:right="10080" w:hanging="1440"/>
      </w:pPr>
      <w:rPr>
        <w:rFonts w:hint="default"/>
        <w:u w:val="single"/>
      </w:rPr>
    </w:lvl>
    <w:lvl w:ilvl="7">
      <w:start w:val="1"/>
      <w:numFmt w:val="decimal"/>
      <w:lvlText w:val="%1.%2.%3.%4.%5.%6.%7.%8."/>
      <w:lvlJc w:val="left"/>
      <w:pPr>
        <w:tabs>
          <w:tab w:val="num" w:pos="11520"/>
        </w:tabs>
        <w:ind w:left="11520" w:right="11520" w:hanging="1440"/>
      </w:pPr>
      <w:rPr>
        <w:rFonts w:hint="default"/>
        <w:u w:val="single"/>
      </w:rPr>
    </w:lvl>
    <w:lvl w:ilvl="8">
      <w:start w:val="1"/>
      <w:numFmt w:val="decimal"/>
      <w:lvlText w:val="%1.%2.%3.%4.%5.%6.%7.%8.%9."/>
      <w:lvlJc w:val="left"/>
      <w:pPr>
        <w:tabs>
          <w:tab w:val="num" w:pos="13320"/>
        </w:tabs>
        <w:ind w:left="13320" w:right="13320" w:hanging="1800"/>
      </w:pPr>
      <w:rPr>
        <w:rFonts w:hint="default"/>
        <w:u w:val="single"/>
      </w:rPr>
    </w:lvl>
  </w:abstractNum>
  <w:abstractNum w:abstractNumId="8" w15:restartNumberingAfterBreak="0">
    <w:nsid w:val="63DA79E6"/>
    <w:multiLevelType w:val="singleLevel"/>
    <w:tmpl w:val="5D32E33C"/>
    <w:lvl w:ilvl="0">
      <w:start w:val="3"/>
      <w:numFmt w:val="decimal"/>
      <w:lvlText w:val="%1."/>
      <w:lvlJc w:val="left"/>
      <w:pPr>
        <w:tabs>
          <w:tab w:val="num" w:pos="2160"/>
        </w:tabs>
        <w:ind w:left="2160" w:right="2160" w:hanging="720"/>
      </w:pPr>
      <w:rPr>
        <w:rFonts w:hint="default"/>
      </w:rPr>
    </w:lvl>
  </w:abstractNum>
  <w:abstractNum w:abstractNumId="9" w15:restartNumberingAfterBreak="0">
    <w:nsid w:val="67086BB1"/>
    <w:multiLevelType w:val="multilevel"/>
    <w:tmpl w:val="4756FB1A"/>
    <w:lvl w:ilvl="0">
      <w:start w:val="3"/>
      <w:numFmt w:val="decimal"/>
      <w:lvlText w:val="%1."/>
      <w:lvlJc w:val="left"/>
      <w:pPr>
        <w:tabs>
          <w:tab w:val="num" w:pos="435"/>
        </w:tabs>
        <w:ind w:left="435" w:right="435" w:hanging="435"/>
      </w:pPr>
      <w:rPr>
        <w:rFonts w:hint="default"/>
        <w:u w:val="single"/>
      </w:rPr>
    </w:lvl>
    <w:lvl w:ilvl="1">
      <w:start w:val="4"/>
      <w:numFmt w:val="decimal"/>
      <w:lvlText w:val="%1.%2&gt;"/>
      <w:lvlJc w:val="left"/>
      <w:pPr>
        <w:tabs>
          <w:tab w:val="num" w:pos="1440"/>
        </w:tabs>
        <w:ind w:left="1440" w:right="1440" w:hanging="720"/>
      </w:pPr>
      <w:rPr>
        <w:rFonts w:hint="default"/>
        <w:u w:val="single"/>
      </w:rPr>
    </w:lvl>
    <w:lvl w:ilvl="2">
      <w:start w:val="1"/>
      <w:numFmt w:val="decimal"/>
      <w:lvlText w:val="%1.%2&gt;%3."/>
      <w:lvlJc w:val="left"/>
      <w:pPr>
        <w:tabs>
          <w:tab w:val="num" w:pos="2160"/>
        </w:tabs>
        <w:ind w:left="2160" w:right="2160" w:hanging="720"/>
      </w:pPr>
      <w:rPr>
        <w:rFonts w:hint="default"/>
        <w:u w:val="single"/>
      </w:rPr>
    </w:lvl>
    <w:lvl w:ilvl="3">
      <w:start w:val="1"/>
      <w:numFmt w:val="decimal"/>
      <w:lvlText w:val="%1.%2&gt;%3.%4."/>
      <w:lvlJc w:val="left"/>
      <w:pPr>
        <w:tabs>
          <w:tab w:val="num" w:pos="3240"/>
        </w:tabs>
        <w:ind w:left="3240" w:right="3240" w:hanging="1080"/>
      </w:pPr>
      <w:rPr>
        <w:rFonts w:hint="default"/>
        <w:u w:val="single"/>
      </w:rPr>
    </w:lvl>
    <w:lvl w:ilvl="4">
      <w:start w:val="1"/>
      <w:numFmt w:val="decimal"/>
      <w:lvlText w:val="%1.%2&gt;%3.%4.%5."/>
      <w:lvlJc w:val="left"/>
      <w:pPr>
        <w:tabs>
          <w:tab w:val="num" w:pos="3960"/>
        </w:tabs>
        <w:ind w:left="3960" w:right="3960" w:hanging="1080"/>
      </w:pPr>
      <w:rPr>
        <w:rFonts w:hint="default"/>
        <w:u w:val="single"/>
      </w:rPr>
    </w:lvl>
    <w:lvl w:ilvl="5">
      <w:start w:val="1"/>
      <w:numFmt w:val="decimal"/>
      <w:lvlText w:val="%1.%2&gt;%3.%4.%5.%6."/>
      <w:lvlJc w:val="left"/>
      <w:pPr>
        <w:tabs>
          <w:tab w:val="num" w:pos="5040"/>
        </w:tabs>
        <w:ind w:left="5040" w:right="5040" w:hanging="1440"/>
      </w:pPr>
      <w:rPr>
        <w:rFonts w:hint="default"/>
        <w:u w:val="single"/>
      </w:rPr>
    </w:lvl>
    <w:lvl w:ilvl="6">
      <w:start w:val="1"/>
      <w:numFmt w:val="decimal"/>
      <w:lvlText w:val="%1.%2&gt;%3.%4.%5.%6.%7."/>
      <w:lvlJc w:val="left"/>
      <w:pPr>
        <w:tabs>
          <w:tab w:val="num" w:pos="5760"/>
        </w:tabs>
        <w:ind w:left="5760" w:right="5760" w:hanging="1440"/>
      </w:pPr>
      <w:rPr>
        <w:rFonts w:hint="default"/>
        <w:u w:val="single"/>
      </w:rPr>
    </w:lvl>
    <w:lvl w:ilvl="7">
      <w:start w:val="1"/>
      <w:numFmt w:val="decimal"/>
      <w:lvlText w:val="%1.%2&gt;%3.%4.%5.%6.%7.%8."/>
      <w:lvlJc w:val="left"/>
      <w:pPr>
        <w:tabs>
          <w:tab w:val="num" w:pos="6840"/>
        </w:tabs>
        <w:ind w:left="6840" w:right="6840" w:hanging="1800"/>
      </w:pPr>
      <w:rPr>
        <w:rFonts w:hint="default"/>
        <w:u w:val="single"/>
      </w:rPr>
    </w:lvl>
    <w:lvl w:ilvl="8">
      <w:start w:val="1"/>
      <w:numFmt w:val="decimal"/>
      <w:lvlText w:val="%1.%2&gt;%3.%4.%5.%6.%7.%8.%9."/>
      <w:lvlJc w:val="left"/>
      <w:pPr>
        <w:tabs>
          <w:tab w:val="num" w:pos="7560"/>
        </w:tabs>
        <w:ind w:left="7560" w:right="7560" w:hanging="1800"/>
      </w:pPr>
      <w:rPr>
        <w:rFonts w:hint="default"/>
        <w:u w:val="single"/>
      </w:rPr>
    </w:lvl>
  </w:abstractNum>
  <w:num w:numId="1" w16cid:durableId="1631980387">
    <w:abstractNumId w:val="3"/>
  </w:num>
  <w:num w:numId="2" w16cid:durableId="69625405">
    <w:abstractNumId w:val="8"/>
  </w:num>
  <w:num w:numId="3" w16cid:durableId="1927110541">
    <w:abstractNumId w:val="1"/>
  </w:num>
  <w:num w:numId="4" w16cid:durableId="1890604318">
    <w:abstractNumId w:val="6"/>
  </w:num>
  <w:num w:numId="5" w16cid:durableId="1849639271">
    <w:abstractNumId w:val="2"/>
  </w:num>
  <w:num w:numId="6" w16cid:durableId="994260839">
    <w:abstractNumId w:val="9"/>
  </w:num>
  <w:num w:numId="7" w16cid:durableId="1822574370">
    <w:abstractNumId w:val="7"/>
  </w:num>
  <w:num w:numId="8" w16cid:durableId="606933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7350298">
    <w:abstractNumId w:val="0"/>
  </w:num>
  <w:num w:numId="10" w16cid:durableId="1530023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trailer" w:val="draft"/>
  </w:docVars>
  <w:rsids>
    <w:rsidRoot w:val="000D1A30"/>
    <w:rsid w:val="000D1A30"/>
    <w:rsid w:val="005462B8"/>
    <w:rsid w:val="00B31A4D"/>
    <w:rsid w:val="00DF353B"/>
    <w:rsid w:val="00FE32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6AF57"/>
  <w15:docId w15:val="{5E51A7DB-737A-4249-92A4-28EF4FFC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he-IL"/>
    </w:rPr>
  </w:style>
  <w:style w:type="paragraph" w:styleId="Heading1">
    <w:name w:val="heading 1"/>
    <w:basedOn w:val="Normal"/>
    <w:next w:val="Normal"/>
    <w:qFormat/>
    <w:pPr>
      <w:keepNext/>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widowControl w:val="0"/>
      <w:tabs>
        <w:tab w:val="left" w:pos="-720"/>
        <w:tab w:val="left" w:pos="0"/>
        <w:tab w:val="decimal" w:pos="720"/>
      </w:tabs>
      <w:jc w:val="both"/>
      <w:outlineLvl w:val="2"/>
    </w:pPr>
    <w:rPr>
      <w:b/>
      <w:bCs/>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ind w:left="71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Resolved">
    <w:name w:val="Resolved"/>
    <w:basedOn w:val="Normal"/>
    <w:pPr>
      <w:spacing w:after="240"/>
      <w:ind w:left="720" w:right="720" w:firstLine="720"/>
      <w:jc w:val="both"/>
    </w:pPr>
  </w:style>
  <w:style w:type="paragraph" w:customStyle="1" w:styleId="List1">
    <w:name w:val="List 1"/>
    <w:basedOn w:val="Normal"/>
    <w:pPr>
      <w:keepNext/>
      <w:spacing w:after="240"/>
      <w:ind w:left="2160" w:hanging="720"/>
      <w:jc w:val="both"/>
    </w:pPr>
  </w:style>
  <w:style w:type="paragraph" w:customStyle="1" w:styleId="BodyText1">
    <w:name w:val="Body Text1"/>
    <w:basedOn w:val="Normal"/>
    <w:pPr>
      <w:suppressAutoHyphens w:val="0"/>
      <w:spacing w:line="480" w:lineRule="auto"/>
      <w:ind w:firstLine="1440"/>
      <w:jc w:val="both"/>
    </w:pPr>
  </w:style>
  <w:style w:type="paragraph" w:customStyle="1" w:styleId="Bod">
    <w:name w:val="Bod"/>
    <w:basedOn w:val="Normal"/>
    <w:pPr>
      <w:spacing w:after="240" w:line="480" w:lineRule="auto"/>
      <w:ind w:firstLine="1440"/>
      <w:jc w:val="both"/>
    </w:pPr>
  </w:style>
  <w:style w:type="paragraph" w:customStyle="1" w:styleId="Text">
    <w:name w:val="Text"/>
    <w:basedOn w:val="Normal"/>
    <w:pPr>
      <w:suppressAutoHyphens w:val="0"/>
      <w:jc w:val="both"/>
    </w:pPr>
  </w:style>
  <w:style w:type="paragraph" w:styleId="Title">
    <w:name w:val="Title"/>
    <w:basedOn w:val="Normal"/>
    <w:qFormat/>
    <w:pPr>
      <w:pBdr>
        <w:bottom w:val="single" w:sz="6" w:space="1" w:color="auto"/>
      </w:pBdr>
      <w:jc w:val="center"/>
    </w:pPr>
    <w:rPr>
      <w:smallCaps/>
      <w:vanish/>
      <w:sz w:val="32"/>
      <w:szCs w:val="32"/>
    </w:rPr>
  </w:style>
  <w:style w:type="character" w:styleId="FootnoteReference">
    <w:name w:val="footnote reference"/>
    <w:semiHidden/>
    <w:rPr>
      <w:vertAlign w:val="superscript"/>
    </w:rPr>
  </w:style>
  <w:style w:type="paragraph" w:customStyle="1" w:styleId="CenterTextBold">
    <w:name w:val="Center Text Bold"/>
    <w:basedOn w:val="Normal"/>
    <w:next w:val="Normal"/>
    <w:pPr>
      <w:suppressAutoHyphens w:val="0"/>
      <w:spacing w:before="240"/>
      <w:jc w:val="center"/>
    </w:pPr>
    <w:rPr>
      <w:b/>
      <w:szCs w:val="20"/>
      <w:lang w:eastAsia="en-US" w:bidi="ar-SA"/>
    </w:rPr>
  </w:style>
  <w:style w:type="paragraph" w:styleId="BodyText">
    <w:name w:val="Body Text"/>
    <w:basedOn w:val="Normal"/>
    <w:pPr>
      <w:suppressAutoHyphens w:val="0"/>
    </w:pPr>
    <w:rPr>
      <w:rFonts w:cs="Miriam"/>
      <w:szCs w:val="20"/>
    </w:rPr>
  </w:style>
  <w:style w:type="paragraph" w:customStyle="1" w:styleId="SignatureLine2-col">
    <w:name w:val="Signature Line 2-col"/>
    <w:basedOn w:val="Normal"/>
    <w:pPr>
      <w:tabs>
        <w:tab w:val="left" w:pos="432"/>
        <w:tab w:val="left" w:pos="4320"/>
        <w:tab w:val="left" w:pos="5040"/>
        <w:tab w:val="left" w:pos="5472"/>
        <w:tab w:val="left" w:pos="9648"/>
      </w:tabs>
      <w:suppressAutoHyphens w:val="0"/>
      <w:spacing w:before="240"/>
      <w:jc w:val="both"/>
    </w:pPr>
    <w:rPr>
      <w:szCs w:val="20"/>
      <w:lang w:eastAsia="en-US" w:bidi="ar-SA"/>
    </w:rPr>
  </w:style>
  <w:style w:type="paragraph" w:styleId="PlainText">
    <w:name w:val="Plain Text"/>
    <w:basedOn w:val="Normal"/>
    <w:pPr>
      <w:suppressAutoHyphens w:val="0"/>
    </w:pPr>
    <w:rPr>
      <w:rFonts w:ascii="Courier New" w:hAnsi="Courier New" w:cs="Courier New"/>
      <w:sz w:val="20"/>
      <w:szCs w:val="20"/>
      <w:lang w:eastAsia="en-US"/>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he-IL"/>
    </w:rPr>
  </w:style>
  <w:style w:type="paragraph" w:styleId="BodyTextIndent">
    <w:name w:val="Body Text Indent"/>
    <w:basedOn w:val="Normal"/>
    <w:link w:val="BodyTextIndentChar"/>
    <w:uiPriority w:val="99"/>
    <w:semiHidden/>
    <w:unhideWhenUsed/>
    <w:pPr>
      <w:spacing w:after="120"/>
      <w:ind w:left="283"/>
    </w:pPr>
    <w:rPr>
      <w:lang w:val="x-none"/>
    </w:rPr>
  </w:style>
  <w:style w:type="character" w:customStyle="1" w:styleId="BodyTextIndentChar">
    <w:name w:val="Body Text Indent Char"/>
    <w:link w:val="BodyTextIndent"/>
    <w:uiPriority w:val="99"/>
    <w:semiHidden/>
    <w:rPr>
      <w:sz w:val="24"/>
      <w:szCs w:val="24"/>
      <w:lang w:eastAsia="he-I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Heading1"/>
    <w:autoRedefine/>
    <w:pPr>
      <w:keepNext w:val="0"/>
      <w:suppressAutoHyphens w:val="0"/>
      <w:spacing w:before="120" w:after="120"/>
      <w:jc w:val="both"/>
      <w:outlineLvl w:val="9"/>
    </w:pPr>
    <w:rPr>
      <w:rFonts w:cs="David"/>
      <w:b w:val="0"/>
      <w:bCs w:val="0"/>
      <w:kern w:val="28"/>
      <w:sz w:val="24"/>
      <w:szCs w:val="22"/>
    </w:rPr>
  </w:style>
  <w:style w:type="paragraph" w:customStyle="1" w:styleId="a">
    <w:name w:val="ממוספר"/>
    <w:basedOn w:val="Normal"/>
    <w:pPr>
      <w:numPr>
        <w:numId w:val="8"/>
      </w:numPr>
      <w:suppressAutoHyphens w:val="0"/>
      <w:bidi/>
      <w:spacing w:line="300" w:lineRule="auto"/>
      <w:ind w:right="737"/>
      <w:jc w:val="both"/>
    </w:pPr>
    <w:rPr>
      <w:rFonts w:cs="David"/>
      <w:lang w:eastAsia="en-US"/>
    </w:rPr>
  </w:style>
  <w:style w:type="character" w:styleId="Emphasis">
    <w:name w:val="Emphasis"/>
    <w:basedOn w:val="DefaultParagraphFont"/>
    <w:uiPriority w:val="20"/>
    <w:qFormat/>
    <w:rPr>
      <w:i/>
      <w:iCs/>
    </w:rPr>
  </w:style>
  <w:style w:type="paragraph" w:customStyle="1" w:styleId="First">
    <w:name w:val="First"/>
    <w:basedOn w:val="Normal"/>
    <w:pPr>
      <w:suppressAutoHyphens w:val="0"/>
      <w:bidi/>
      <w:spacing w:line="280" w:lineRule="atLeast"/>
      <w:ind w:left="567" w:hanging="567"/>
      <w:jc w:val="both"/>
    </w:pPr>
    <w:rPr>
      <w:rFonts w:cs="David"/>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77498">
      <w:bodyDiv w:val="1"/>
      <w:marLeft w:val="0"/>
      <w:marRight w:val="0"/>
      <w:marTop w:val="0"/>
      <w:marBottom w:val="0"/>
      <w:divBdr>
        <w:top w:val="none" w:sz="0" w:space="0" w:color="auto"/>
        <w:left w:val="none" w:sz="0" w:space="0" w:color="auto"/>
        <w:bottom w:val="none" w:sz="0" w:space="0" w:color="auto"/>
        <w:right w:val="none" w:sz="0" w:space="0" w:color="auto"/>
      </w:divBdr>
    </w:div>
    <w:div w:id="20955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529A3-C458-41A3-9CD3-137AD064CAC7}">
  <ds:schemaRefs>
    <ds:schemaRef ds:uri="http://schemas.openxmlformats.org/officeDocument/2006/bibliography"/>
  </ds:schemaRefs>
</ds:datastoreItem>
</file>

<file path=customXml/itemProps2.xml><?xml version="1.0" encoding="utf-8"?>
<ds:datastoreItem xmlns:ds="http://schemas.openxmlformats.org/officeDocument/2006/customXml" ds:itemID="{7E203DF6-A8AA-4D34-87D9-AC2D5506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Board Res - Equity Incentive Plan</vt:lpstr>
    </vt:vector>
  </TitlesOfParts>
  <Manager>נשיץ ברנדס אמיר עו"ד (35803)</Manager>
  <Company>CyCognito Ltd -סיקוגניטו בע"מ</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Res - Equity Incentive Plan</dc:title>
  <dc:subject>150616/2</dc:subject>
  <dc:creator>G2963862-V1</dc:creator>
  <cp:keywords>V:\Docs\150616\00002\G2963862-V001.doc.doc CyCognito Ltd -סיקוגניטו בע"מ CyCognito Ltd -סיקוגניטו בע"מ - שוטף 150616/2 Board Res - Equity Incentive Plan 2963862-V1 G2963862-V1</cp:keywords>
  <dc:description>עינת רושו_x000d_
CyCognito Ltd -סיקוגניטו בע"מ_x000d_
Board Res - Equity Incentive Plan</dc:description>
  <cp:lastModifiedBy>NBA</cp:lastModifiedBy>
  <cp:revision>8</cp:revision>
  <cp:lastPrinted>2007-08-07T16:03:00Z</cp:lastPrinted>
  <dcterms:created xsi:type="dcterms:W3CDTF">2018-06-13T07:52:00Z</dcterms:created>
  <dcterms:modified xsi:type="dcterms:W3CDTF">2025-04-15T08:23:00Z</dcterms:modified>
</cp:coreProperties>
</file>