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
        <w:spacing w:after="0"/>
        <w:rPr>
          <w:rFonts w:cs="Times New Roman"/>
          <w:sz w:val="22"/>
          <w:szCs w:val="22"/>
          <w:lang w:bidi="ar-SA"/>
        </w:rPr>
      </w:pPr>
      <w:r>
        <w:rPr>
          <w:caps/>
          <w:sz w:val="22"/>
          <w:szCs w:val="22"/>
        </w:rPr>
        <w:t>Advisory Board</w:t>
      </w:r>
      <w:r>
        <w:rPr>
          <w:rFonts w:cs="Times New Roman"/>
          <w:sz w:val="22"/>
          <w:szCs w:val="22"/>
          <w:lang w:bidi="ar-SA"/>
        </w:rPr>
        <w:t xml:space="preserve"> MEMBER AGREEMENT</w:t>
      </w:r>
    </w:p>
    <w:p>
      <w:pPr>
        <w:pStyle w:val="Bod"/>
        <w:spacing w:after="0"/>
        <w:ind w:firstLine="567"/>
        <w:rPr>
          <w:rFonts w:cs="Times New Roman"/>
          <w:sz w:val="22"/>
          <w:szCs w:val="22"/>
          <w:lang w:bidi="ar-SA"/>
        </w:rPr>
      </w:pPr>
    </w:p>
    <w:p>
      <w:pPr>
        <w:pStyle w:val="Bod"/>
        <w:spacing w:after="0"/>
        <w:ind w:firstLine="567"/>
        <w:rPr>
          <w:rFonts w:cs="Times New Roman"/>
          <w:sz w:val="22"/>
          <w:szCs w:val="22"/>
          <w:lang w:bidi="ar-SA"/>
        </w:rPr>
      </w:pPr>
      <w:r>
        <w:rPr>
          <w:rFonts w:cs="Times New Roman"/>
          <w:sz w:val="22"/>
          <w:szCs w:val="22"/>
          <w:lang w:bidi="ar-SA"/>
        </w:rPr>
        <w:t xml:space="preserve">This </w:t>
      </w:r>
      <w:r>
        <w:rPr>
          <w:sz w:val="22"/>
          <w:szCs w:val="22"/>
        </w:rPr>
        <w:t>Advisory Board</w:t>
      </w:r>
      <w:r>
        <w:rPr>
          <w:rFonts w:cs="Times New Roman"/>
          <w:sz w:val="22"/>
          <w:szCs w:val="22"/>
          <w:lang w:bidi="ar-SA"/>
        </w:rPr>
        <w:t xml:space="preserve"> Member Agreement (the “</w:t>
      </w:r>
      <w:r>
        <w:rPr>
          <w:rFonts w:cs="Times New Roman"/>
          <w:b/>
          <w:bCs/>
          <w:sz w:val="22"/>
          <w:szCs w:val="22"/>
          <w:lang w:bidi="ar-SA"/>
        </w:rPr>
        <w:t>Agreement</w:t>
      </w:r>
      <w:r>
        <w:rPr>
          <w:rFonts w:cs="Times New Roman"/>
          <w:sz w:val="22"/>
          <w:szCs w:val="22"/>
          <w:lang w:bidi="ar-SA"/>
        </w:rPr>
        <w:t xml:space="preserve">”) is entered into this </w:t>
      </w:r>
      <w:r>
        <w:rPr>
          <w:rFonts w:cs="Times New Roman"/>
          <w:sz w:val="22"/>
          <w:szCs w:val="22"/>
          <w:highlight w:val="yellow"/>
          <w:lang w:bidi="ar-SA"/>
        </w:rPr>
        <w:t>__</w:t>
      </w:r>
      <w:r>
        <w:rPr>
          <w:rFonts w:cs="Times New Roman"/>
          <w:sz w:val="22"/>
          <w:szCs w:val="22"/>
          <w:lang w:bidi="ar-SA"/>
        </w:rPr>
        <w:t xml:space="preserve"> day of February, 2022 (the “</w:t>
      </w:r>
      <w:r>
        <w:rPr>
          <w:rFonts w:cs="Times New Roman"/>
          <w:b/>
          <w:bCs/>
          <w:sz w:val="22"/>
          <w:szCs w:val="22"/>
          <w:lang w:bidi="ar-SA"/>
        </w:rPr>
        <w:t>Effective Date</w:t>
      </w:r>
      <w:r>
        <w:rPr>
          <w:rFonts w:cs="Times New Roman"/>
          <w:sz w:val="22"/>
          <w:szCs w:val="22"/>
          <w:lang w:bidi="ar-SA"/>
        </w:rPr>
        <w:t xml:space="preserve">”) by and between </w:t>
      </w:r>
      <w:r>
        <w:rPr>
          <w:rFonts w:cs="Times New Roman"/>
          <w:sz w:val="22"/>
          <w:szCs w:val="22"/>
          <w:highlight w:val="yellow"/>
          <w:lang w:bidi="ar-SA"/>
        </w:rPr>
        <w:t>__________</w:t>
      </w:r>
      <w:r>
        <w:rPr>
          <w:rFonts w:cs="Times New Roman"/>
          <w:sz w:val="22"/>
          <w:szCs w:val="22"/>
          <w:lang w:bidi="ar-SA"/>
        </w:rPr>
        <w:t xml:space="preserve">, a company duly organized and existing under the laws of Israel, and having its registered address at </w:t>
      </w:r>
      <w:r>
        <w:rPr>
          <w:rFonts w:cs="Times New Roman"/>
          <w:sz w:val="22"/>
          <w:szCs w:val="22"/>
          <w:highlight w:val="yellow"/>
          <w:lang w:bidi="ar-SA"/>
        </w:rPr>
        <w:t>__________</w:t>
      </w:r>
      <w:r>
        <w:rPr>
          <w:rFonts w:cs="Times New Roman"/>
          <w:sz w:val="22"/>
          <w:szCs w:val="22"/>
          <w:lang w:bidi="ar-SA"/>
        </w:rPr>
        <w:t xml:space="preserve"> (the “</w:t>
      </w:r>
      <w:r>
        <w:rPr>
          <w:rFonts w:cs="Times New Roman"/>
          <w:b/>
          <w:bCs/>
          <w:sz w:val="22"/>
          <w:szCs w:val="22"/>
          <w:lang w:bidi="ar-SA"/>
        </w:rPr>
        <w:t>Company</w:t>
      </w:r>
      <w:r>
        <w:rPr>
          <w:rFonts w:cs="Times New Roman"/>
          <w:sz w:val="22"/>
          <w:szCs w:val="22"/>
          <w:lang w:bidi="ar-SA"/>
        </w:rPr>
        <w:t xml:space="preserve">”) and </w:t>
      </w:r>
      <w:r>
        <w:rPr>
          <w:rFonts w:cs="Times New Roman"/>
          <w:sz w:val="22"/>
          <w:szCs w:val="22"/>
          <w:highlight w:val="yellow"/>
          <w:lang w:bidi="ar-SA"/>
        </w:rPr>
        <w:t>__________</w:t>
      </w:r>
      <w:r>
        <w:rPr>
          <w:rFonts w:cs="Times New Roman"/>
          <w:sz w:val="22"/>
          <w:szCs w:val="22"/>
          <w:lang w:bidi="ar-SA"/>
        </w:rPr>
        <w:t xml:space="preserve"> (I.D. Number: </w:t>
      </w:r>
      <w:r>
        <w:rPr>
          <w:rFonts w:cs="Times New Roman"/>
          <w:sz w:val="22"/>
          <w:szCs w:val="22"/>
          <w:highlight w:val="yellow"/>
          <w:lang w:bidi="ar-SA"/>
        </w:rPr>
        <w:t>__________</w:t>
      </w:r>
      <w:r>
        <w:rPr>
          <w:rFonts w:cs="Times New Roman"/>
          <w:sz w:val="22"/>
          <w:szCs w:val="22"/>
          <w:lang w:bidi="ar-SA"/>
        </w:rPr>
        <w:t xml:space="preserve">) of </w:t>
      </w:r>
      <w:r>
        <w:rPr>
          <w:rFonts w:cs="Times New Roman"/>
          <w:sz w:val="22"/>
          <w:szCs w:val="22"/>
          <w:highlight w:val="yellow"/>
          <w:lang w:bidi="ar-SA"/>
        </w:rPr>
        <w:t>___________</w:t>
      </w:r>
      <w:r>
        <w:rPr>
          <w:rFonts w:cs="Times New Roman"/>
          <w:sz w:val="22"/>
          <w:szCs w:val="22"/>
          <w:lang w:bidi="ar-SA"/>
        </w:rPr>
        <w:t xml:space="preserve"> (the “</w:t>
      </w:r>
      <w:r>
        <w:rPr>
          <w:rFonts w:cs="Times New Roman"/>
          <w:b/>
          <w:bCs/>
          <w:sz w:val="22"/>
          <w:szCs w:val="22"/>
          <w:lang w:bidi="ar-SA"/>
        </w:rPr>
        <w:t>Advisor</w:t>
      </w:r>
      <w:r>
        <w:rPr>
          <w:rFonts w:cs="Times New Roman"/>
          <w:sz w:val="22"/>
          <w:szCs w:val="22"/>
          <w:lang w:bidi="ar-SA"/>
        </w:rPr>
        <w:t>”).</w:t>
      </w:r>
    </w:p>
    <w:p>
      <w:pPr>
        <w:pStyle w:val="Bod"/>
        <w:spacing w:after="0"/>
        <w:ind w:firstLine="0"/>
        <w:rPr>
          <w:rFonts w:cs="Times New Roman"/>
          <w:sz w:val="22"/>
          <w:szCs w:val="22"/>
          <w:lang w:bidi="ar-SA"/>
        </w:rPr>
      </w:pPr>
      <w:r>
        <w:rPr>
          <w:rFonts w:cs="Times New Roman"/>
          <w:sz w:val="22"/>
          <w:szCs w:val="22"/>
          <w:lang w:bidi="ar-SA"/>
        </w:rPr>
        <w:t xml:space="preserve">  </w:t>
      </w:r>
    </w:p>
    <w:p>
      <w:pPr>
        <w:pStyle w:val="Heading1"/>
        <w:numPr>
          <w:ilvl w:val="0"/>
          <w:numId w:val="3"/>
        </w:numPr>
        <w:ind w:right="0"/>
        <w:jc w:val="both"/>
        <w:rPr>
          <w:rFonts w:cs="Times New Roman"/>
          <w:sz w:val="22"/>
          <w:szCs w:val="22"/>
          <w:lang w:eastAsia="en-US" w:bidi="ar-SA"/>
        </w:rPr>
      </w:pPr>
      <w:r>
        <w:rPr>
          <w:rFonts w:cs="Times New Roman"/>
          <w:sz w:val="22"/>
          <w:szCs w:val="22"/>
          <w:u w:val="single"/>
          <w:lang w:eastAsia="en-US" w:bidi="ar-SA"/>
        </w:rPr>
        <w:t>Services</w:t>
      </w:r>
      <w:r>
        <w:rPr>
          <w:rFonts w:cs="Times New Roman"/>
          <w:sz w:val="22"/>
          <w:szCs w:val="22"/>
          <w:lang w:eastAsia="en-US" w:bidi="ar-SA"/>
        </w:rPr>
        <w:t xml:space="preserve">. Advisor agrees to serve as a member of the Company’s </w:t>
      </w:r>
      <w:r>
        <w:rPr>
          <w:sz w:val="22"/>
          <w:szCs w:val="22"/>
        </w:rPr>
        <w:t>advisory board</w:t>
      </w:r>
      <w:r>
        <w:rPr>
          <w:rFonts w:cs="Times New Roman"/>
          <w:sz w:val="22"/>
          <w:szCs w:val="22"/>
          <w:lang w:eastAsia="en-US" w:bidi="ar-SA"/>
        </w:rPr>
        <w:t xml:space="preserve">, to use reasonable efforts to (i) attend </w:t>
      </w:r>
      <w:r>
        <w:rPr>
          <w:sz w:val="22"/>
          <w:szCs w:val="22"/>
        </w:rPr>
        <w:t>advisory board</w:t>
      </w:r>
      <w:r>
        <w:rPr>
          <w:rFonts w:cs="Times New Roman"/>
          <w:sz w:val="22"/>
          <w:szCs w:val="22"/>
          <w:lang w:eastAsia="en-US" w:bidi="ar-SA"/>
        </w:rPr>
        <w:t xml:space="preserve"> meetings as requested and pre-coordinated by the Company with the Advisor, (ii) to consult with and advise Company from time to time at Company’s request, including via telephone and e-mail, and (iii) to provide up to [</w:t>
      </w:r>
      <w:r>
        <w:rPr>
          <w:rFonts w:cs="Times New Roman"/>
          <w:sz w:val="22"/>
          <w:szCs w:val="22"/>
          <w:highlight w:val="yellow"/>
          <w:lang w:eastAsia="en-US" w:bidi="ar-SA"/>
        </w:rPr>
        <w:t>__</w:t>
      </w:r>
      <w:r>
        <w:rPr>
          <w:rFonts w:cs="Times New Roman"/>
          <w:sz w:val="22"/>
          <w:szCs w:val="22"/>
          <w:lang w:eastAsia="en-US" w:bidi="ar-SA"/>
        </w:rPr>
        <w:t xml:space="preserve">] advising hours per month in the fields of: </w:t>
      </w:r>
      <w:r>
        <w:rPr>
          <w:rFonts w:cs="Times New Roman"/>
          <w:sz w:val="22"/>
          <w:szCs w:val="22"/>
          <w:highlight w:val="yellow"/>
          <w:lang w:bidi="ar-SA"/>
        </w:rPr>
        <w:t>__________</w:t>
      </w:r>
      <w:r>
        <w:rPr>
          <w:rFonts w:cs="Times New Roman"/>
          <w:sz w:val="22"/>
          <w:szCs w:val="22"/>
          <w:lang w:eastAsia="en-US" w:bidi="ar-SA"/>
        </w:rPr>
        <w:t xml:space="preserve"> (collectively, the “</w:t>
      </w:r>
      <w:r>
        <w:rPr>
          <w:rFonts w:cs="Times New Roman"/>
          <w:b/>
          <w:bCs/>
          <w:sz w:val="22"/>
          <w:szCs w:val="22"/>
          <w:lang w:eastAsia="en-US" w:bidi="ar-SA"/>
        </w:rPr>
        <w:t>Services</w:t>
      </w:r>
      <w:r>
        <w:rPr>
          <w:rFonts w:cs="Times New Roman"/>
          <w:sz w:val="22"/>
          <w:szCs w:val="22"/>
          <w:lang w:eastAsia="en-US" w:bidi="ar-SA"/>
        </w:rPr>
        <w:t>”).</w:t>
      </w:r>
    </w:p>
    <w:p>
      <w:pPr>
        <w:pStyle w:val="Heading1"/>
        <w:numPr>
          <w:ilvl w:val="0"/>
          <w:numId w:val="3"/>
        </w:numPr>
        <w:ind w:right="0"/>
        <w:jc w:val="both"/>
        <w:rPr>
          <w:sz w:val="22"/>
          <w:szCs w:val="22"/>
        </w:rPr>
      </w:pPr>
      <w:r>
        <w:rPr>
          <w:rFonts w:cs="Times New Roman"/>
          <w:sz w:val="22"/>
          <w:szCs w:val="22"/>
          <w:u w:val="single"/>
          <w:lang w:eastAsia="en-US" w:bidi="ar-SA"/>
        </w:rPr>
        <w:t>Consideration</w:t>
      </w:r>
      <w:r>
        <w:rPr>
          <w:rFonts w:cs="Times New Roman"/>
          <w:sz w:val="22"/>
          <w:szCs w:val="22"/>
          <w:lang w:eastAsia="en-US" w:bidi="ar-SA"/>
        </w:rPr>
        <w:t xml:space="preserve">. </w:t>
      </w:r>
      <w:r>
        <w:rPr>
          <w:sz w:val="22"/>
          <w:szCs w:val="22"/>
        </w:rPr>
        <w:t xml:space="preserve">As full and complete consideration of the Services including any expenses in connection therewith, the Company shall pay Advisor the fees set forth in </w:t>
      </w:r>
      <w:r>
        <w:rPr>
          <w:b/>
          <w:bCs/>
          <w:sz w:val="22"/>
          <w:szCs w:val="22"/>
          <w:u w:val="single"/>
        </w:rPr>
        <w:t>Exhibit A</w:t>
      </w:r>
      <w:r>
        <w:rPr>
          <w:rFonts w:cs="Times New Roman"/>
          <w:sz w:val="22"/>
          <w:szCs w:val="22"/>
        </w:rPr>
        <w:t xml:space="preserve"> on the terms set forth thereunder against lawful tax invoice issued by Advisor. </w:t>
      </w:r>
      <w:r>
        <w:rPr>
          <w:sz w:val="22"/>
          <w:szCs w:val="22"/>
        </w:rPr>
        <w:t xml:space="preserve">The Company shall withhold taxes as required by applicable law. </w:t>
      </w:r>
      <w:r>
        <w:rPr>
          <w:rFonts w:cs="Times New Roman"/>
          <w:sz w:val="22"/>
          <w:szCs w:val="22"/>
        </w:rPr>
        <w:t>Advisor</w:t>
      </w:r>
      <w:r>
        <w:rPr>
          <w:sz w:val="22"/>
          <w:szCs w:val="22"/>
        </w:rPr>
        <w:t xml:space="preserve"> will be solely responsible for any taxes or other assessments by any governmental authority with respect to the Services and </w:t>
      </w:r>
      <w:r>
        <w:rPr>
          <w:rFonts w:cs="Times New Roman"/>
          <w:sz w:val="22"/>
          <w:szCs w:val="22"/>
        </w:rPr>
        <w:t>Advisor</w:t>
      </w:r>
      <w:r>
        <w:rPr>
          <w:sz w:val="22"/>
          <w:szCs w:val="22"/>
        </w:rPr>
        <w:t xml:space="preserve">'s compensation. In case of any exceptional out-of-pocket expenses, travel and lodging expenses made by the </w:t>
      </w:r>
      <w:r>
        <w:rPr>
          <w:rFonts w:cs="Times New Roman"/>
          <w:sz w:val="22"/>
          <w:szCs w:val="22"/>
        </w:rPr>
        <w:t>Advisor</w:t>
      </w:r>
      <w:r>
        <w:rPr>
          <w:sz w:val="22"/>
          <w:szCs w:val="22"/>
        </w:rPr>
        <w:t xml:space="preserve"> solely and directly for the provision of the Services, and only if requested to be made and pre-approved in writing by the Company and subject to the then applicable reimbursement policy of the Company, these shall be accompanied with sufficient written evidence of expense (e.g. copies receipts). </w:t>
      </w:r>
      <w:r>
        <w:rPr>
          <w:rFonts w:cs="Times New Roman"/>
          <w:sz w:val="22"/>
          <w:szCs w:val="22"/>
        </w:rPr>
        <w:t xml:space="preserve">The consideration shall be paid to Advisor within </w:t>
      </w:r>
      <w:r>
        <w:rPr>
          <w:sz w:val="22"/>
        </w:rPr>
        <w:t>30</w:t>
      </w:r>
      <w:r>
        <w:rPr>
          <w:rFonts w:cs="Times New Roman"/>
          <w:sz w:val="22"/>
          <w:szCs w:val="22"/>
        </w:rPr>
        <w:t xml:space="preserve"> days following the receipt, review and approval of the tax invoice and proper expense document by the Company. </w:t>
      </w:r>
      <w:r>
        <w:rPr>
          <w:sz w:val="22"/>
          <w:szCs w:val="22"/>
        </w:rPr>
        <w:t xml:space="preserve">The consideration specifies </w:t>
      </w:r>
      <w:r>
        <w:rPr>
          <w:rFonts w:cs="Times New Roman"/>
          <w:sz w:val="22"/>
          <w:szCs w:val="22"/>
        </w:rPr>
        <w:t>Advisor</w:t>
      </w:r>
      <w:r>
        <w:rPr>
          <w:sz w:val="22"/>
          <w:szCs w:val="22"/>
        </w:rPr>
        <w:t xml:space="preserve">'s full and final compensation as well as the Company’s full and final obligation, and </w:t>
      </w:r>
      <w:r>
        <w:rPr>
          <w:rFonts w:cs="Times New Roman"/>
          <w:sz w:val="22"/>
          <w:szCs w:val="22"/>
        </w:rPr>
        <w:t>Advisor</w:t>
      </w:r>
      <w:r>
        <w:rPr>
          <w:sz w:val="22"/>
          <w:szCs w:val="22"/>
        </w:rPr>
        <w:t xml:space="preserve"> will not be entitled to any additional compensation, payment, remuneration, and reimbursement of expenses, taxes or the like.</w:t>
      </w:r>
    </w:p>
    <w:p>
      <w:pPr>
        <w:pStyle w:val="Heading1"/>
        <w:numPr>
          <w:ilvl w:val="0"/>
          <w:numId w:val="3"/>
        </w:numPr>
        <w:ind w:right="0"/>
        <w:jc w:val="both"/>
        <w:rPr>
          <w:rFonts w:cs="Times New Roman"/>
          <w:sz w:val="22"/>
          <w:szCs w:val="22"/>
          <w:lang w:eastAsia="en-US" w:bidi="ar-SA"/>
        </w:rPr>
      </w:pPr>
      <w:r>
        <w:rPr>
          <w:rFonts w:cs="Times New Roman"/>
          <w:sz w:val="22"/>
          <w:szCs w:val="22"/>
          <w:u w:val="single"/>
          <w:lang w:eastAsia="en-US" w:bidi="ar-SA"/>
        </w:rPr>
        <w:t>Representations and Warranties</w:t>
      </w:r>
      <w:r>
        <w:rPr>
          <w:rFonts w:cs="Times New Roman"/>
          <w:sz w:val="22"/>
          <w:szCs w:val="22"/>
          <w:lang w:eastAsia="en-US" w:bidi="ar-SA"/>
        </w:rPr>
        <w:t xml:space="preserve">. </w:t>
      </w:r>
      <w:r>
        <w:rPr>
          <w:rFonts w:cs="Times New Roman"/>
          <w:sz w:val="22"/>
          <w:szCs w:val="22"/>
        </w:rPr>
        <w:t>Advisor represents that: (A) there is no, and during the Term (as defined below) will be no, contractual or other legal restriction preventing or limiting it from entering into and performing any of its obligations under this Agreement and the exhibit(s) attached hereto</w:t>
      </w:r>
      <w:r>
        <w:rPr>
          <w:sz w:val="22"/>
          <w:szCs w:val="22"/>
        </w:rPr>
        <w:t>, including with regard to confidentiality and intellectual property obligations or any position, contract or other obligation that Advisor has towards any third party, including any academic or medical institution</w:t>
      </w:r>
      <w:r>
        <w:rPr>
          <w:rFonts w:cs="Times New Roman"/>
          <w:sz w:val="22"/>
          <w:szCs w:val="22"/>
        </w:rPr>
        <w:t>, (B)</w:t>
      </w:r>
      <w:r>
        <w:rPr>
          <w:sz w:val="22"/>
          <w:szCs w:val="22"/>
        </w:rPr>
        <w:t xml:space="preserve"> Advisor will not engage in any other occupation, consulting or other business, in any other activities that conflict with its obligations to the Company, (C) Advisor</w:t>
      </w:r>
      <w:r>
        <w:rPr>
          <w:rFonts w:cs="Times New Roman"/>
          <w:sz w:val="22"/>
          <w:szCs w:val="22"/>
        </w:rPr>
        <w:t xml:space="preserve"> shall comply with good business practices, and all applicable laws, regulations and orders, and in a manner which will reflect favorably on the goodwill and reputation of Company, (D) no work to be performed hereunder shall infringe any copyright, patent, trademark, trade secret or other proprietary right of any third party, and for the avoidance of doubt, </w:t>
      </w:r>
      <w:r>
        <w:rPr>
          <w:sz w:val="22"/>
          <w:szCs w:val="22"/>
        </w:rPr>
        <w:t>Advisor</w:t>
      </w:r>
      <w:r>
        <w:rPr>
          <w:rFonts w:cs="Times New Roman"/>
          <w:sz w:val="22"/>
          <w:szCs w:val="22"/>
        </w:rPr>
        <w:t xml:space="preserve"> shall not disclose to Company any confidential information of any third party, all pursuant to the Confidential Information Agreement attached hereto as </w:t>
      </w:r>
      <w:r>
        <w:rPr>
          <w:rFonts w:cs="Times New Roman"/>
          <w:b/>
          <w:bCs/>
          <w:sz w:val="22"/>
          <w:szCs w:val="22"/>
          <w:u w:val="single"/>
        </w:rPr>
        <w:t>Exhibit B</w:t>
      </w:r>
      <w:r>
        <w:rPr>
          <w:rFonts w:cs="Times New Roman"/>
          <w:sz w:val="22"/>
          <w:szCs w:val="22"/>
        </w:rPr>
        <w:t xml:space="preserve">. Without derogating from the generality of the foregoing, </w:t>
      </w:r>
      <w:r>
        <w:rPr>
          <w:sz w:val="22"/>
          <w:szCs w:val="22"/>
        </w:rPr>
        <w:t>Advisor</w:t>
      </w:r>
      <w:r>
        <w:rPr>
          <w:rFonts w:cs="Times New Roman"/>
          <w:sz w:val="22"/>
          <w:szCs w:val="22"/>
        </w:rPr>
        <w:t xml:space="preserve"> hereby represents that </w:t>
      </w:r>
      <w:r>
        <w:rPr>
          <w:sz w:val="22"/>
          <w:szCs w:val="22"/>
        </w:rPr>
        <w:t>Advisor</w:t>
      </w:r>
      <w:r>
        <w:rPr>
          <w:rFonts w:cs="Times New Roman"/>
          <w:sz w:val="22"/>
          <w:szCs w:val="22"/>
        </w:rPr>
        <w:t xml:space="preserve"> works as staff member</w:t>
      </w:r>
      <w:r>
        <w:rPr>
          <w:sz w:val="22"/>
        </w:rPr>
        <w:t xml:space="preserve"> </w:t>
      </w:r>
      <w:r>
        <w:rPr>
          <w:rFonts w:cs="Times New Roman"/>
          <w:sz w:val="22"/>
          <w:szCs w:val="22"/>
        </w:rPr>
        <w:t xml:space="preserve">at the </w:t>
      </w:r>
      <w:r>
        <w:rPr>
          <w:rFonts w:cs="Times New Roman"/>
          <w:sz w:val="22"/>
          <w:szCs w:val="22"/>
          <w:highlight w:val="yellow"/>
          <w:lang w:bidi="ar-SA"/>
        </w:rPr>
        <w:t>__________</w:t>
      </w:r>
      <w:r>
        <w:rPr>
          <w:rFonts w:cs="Times New Roman"/>
          <w:sz w:val="22"/>
          <w:szCs w:val="22"/>
        </w:rPr>
        <w:t xml:space="preserve"> (the </w:t>
      </w:r>
      <w:r>
        <w:rPr>
          <w:rFonts w:cs="Times New Roman"/>
          <w:b/>
          <w:bCs/>
          <w:sz w:val="22"/>
          <w:szCs w:val="22"/>
        </w:rPr>
        <w:t>“Institution”</w:t>
      </w:r>
      <w:r>
        <w:rPr>
          <w:rFonts w:cs="Times New Roman"/>
          <w:sz w:val="22"/>
          <w:szCs w:val="22"/>
        </w:rPr>
        <w:t xml:space="preserve">). </w:t>
      </w:r>
      <w:r>
        <w:rPr>
          <w:sz w:val="22"/>
          <w:szCs w:val="22"/>
        </w:rPr>
        <w:t>Advisor</w:t>
      </w:r>
      <w:r>
        <w:rPr>
          <w:rFonts w:cs="Times New Roman"/>
          <w:sz w:val="22"/>
          <w:szCs w:val="22"/>
        </w:rPr>
        <w:t xml:space="preserve"> declares and warrants that in provision of the Services, </w:t>
      </w:r>
      <w:r>
        <w:rPr>
          <w:sz w:val="22"/>
          <w:szCs w:val="22"/>
        </w:rPr>
        <w:t>Advisor</w:t>
      </w:r>
      <w:r>
        <w:rPr>
          <w:rFonts w:cs="Times New Roman"/>
          <w:sz w:val="22"/>
          <w:szCs w:val="22"/>
        </w:rPr>
        <w:t xml:space="preserve"> shall not make any unauthorized use of any assets, products, technologies, know-how, or information in which the Institution has any interest or which are subject to any undertakings of </w:t>
      </w:r>
      <w:r>
        <w:rPr>
          <w:sz w:val="22"/>
          <w:szCs w:val="22"/>
        </w:rPr>
        <w:t>Advisor</w:t>
      </w:r>
      <w:r>
        <w:rPr>
          <w:rFonts w:cs="Times New Roman"/>
          <w:sz w:val="22"/>
          <w:szCs w:val="22"/>
        </w:rPr>
        <w:t xml:space="preserve"> with respect to confidentiality, restricted or limited use, non-disclosure or any other use thereof. In addition, </w:t>
      </w:r>
      <w:r>
        <w:rPr>
          <w:sz w:val="22"/>
          <w:szCs w:val="22"/>
        </w:rPr>
        <w:t>Advisor</w:t>
      </w:r>
      <w:r>
        <w:rPr>
          <w:rFonts w:cs="Times New Roman"/>
          <w:sz w:val="22"/>
          <w:szCs w:val="22"/>
        </w:rPr>
        <w:t xml:space="preserve"> shall not provide to the Company any advice, information, plans, statements, opinions, know-how, records, copyrights and any other intellectual property rights under law or ideas made, received or invented by or originating with </w:t>
      </w:r>
      <w:r>
        <w:rPr>
          <w:sz w:val="22"/>
          <w:szCs w:val="22"/>
        </w:rPr>
        <w:t>Advisor</w:t>
      </w:r>
      <w:r>
        <w:rPr>
          <w:rFonts w:cs="Times New Roman"/>
          <w:sz w:val="22"/>
          <w:szCs w:val="22"/>
        </w:rPr>
        <w:t xml:space="preserve">, within the framework of </w:t>
      </w:r>
      <w:r>
        <w:rPr>
          <w:sz w:val="22"/>
          <w:szCs w:val="22"/>
        </w:rPr>
        <w:t>Advisor</w:t>
      </w:r>
      <w:r>
        <w:rPr>
          <w:rFonts w:cs="Times New Roman"/>
          <w:sz w:val="22"/>
          <w:szCs w:val="22"/>
        </w:rPr>
        <w:t xml:space="preserve"> 's engagements with such Institution.</w:t>
      </w:r>
      <w:r>
        <w:rPr>
          <w:rFonts w:cs="Times New Roman"/>
          <w:sz w:val="22"/>
          <w:szCs w:val="22"/>
          <w:lang w:eastAsia="en-US" w:bidi="ar-SA"/>
        </w:rPr>
        <w:t xml:space="preserve"> </w:t>
      </w:r>
    </w:p>
    <w:p>
      <w:pPr>
        <w:pStyle w:val="Heading1"/>
        <w:numPr>
          <w:ilvl w:val="0"/>
          <w:numId w:val="3"/>
        </w:numPr>
        <w:ind w:right="0"/>
        <w:jc w:val="both"/>
        <w:rPr>
          <w:rStyle w:val="FontStyle11"/>
          <w:sz w:val="22"/>
          <w:szCs w:val="22"/>
          <w:lang w:eastAsia="en-US" w:bidi="ar-SA"/>
        </w:rPr>
      </w:pPr>
      <w:r>
        <w:rPr>
          <w:rStyle w:val="FontStyle11"/>
          <w:sz w:val="22"/>
          <w:szCs w:val="22"/>
          <w:u w:val="single"/>
        </w:rPr>
        <w:t>Consent</w:t>
      </w:r>
      <w:r>
        <w:rPr>
          <w:rStyle w:val="FontStyle11"/>
          <w:sz w:val="22"/>
          <w:szCs w:val="22"/>
        </w:rPr>
        <w:t>. Advisor consents to being named as an advisor or as a member of the advisory board in Company presentations, brochures, advertisements, documents, reports or other documents in printed or electronic form, including the Company business plan and the Company’s web site.</w:t>
      </w:r>
      <w:r>
        <w:rPr>
          <w:rStyle w:val="FontStyle11"/>
          <w:sz w:val="22"/>
          <w:szCs w:val="22"/>
          <w:lang w:eastAsia="en-US" w:bidi="ar-SA"/>
        </w:rPr>
        <w:t xml:space="preserve"> The Advisor further consents to the publication of his name and personal biography on the Company’s web site for Company endorsement purposes.</w:t>
      </w:r>
    </w:p>
    <w:p>
      <w:pPr>
        <w:pStyle w:val="Heading1"/>
        <w:numPr>
          <w:ilvl w:val="0"/>
          <w:numId w:val="3"/>
        </w:numPr>
        <w:ind w:right="0"/>
        <w:jc w:val="both"/>
        <w:rPr>
          <w:rFonts w:cs="Times New Roman"/>
          <w:sz w:val="22"/>
          <w:szCs w:val="22"/>
          <w:lang w:eastAsia="en-US" w:bidi="ar-SA"/>
        </w:rPr>
      </w:pPr>
      <w:r>
        <w:rPr>
          <w:rFonts w:cs="Times New Roman"/>
          <w:sz w:val="22"/>
          <w:szCs w:val="22"/>
          <w:u w:val="single"/>
          <w:lang w:eastAsia="en-US" w:bidi="ar-SA"/>
        </w:rPr>
        <w:t>Term and Termination.</w:t>
      </w:r>
      <w:r>
        <w:rPr>
          <w:rFonts w:cs="Times New Roman"/>
          <w:sz w:val="22"/>
          <w:szCs w:val="22"/>
          <w:lang w:eastAsia="en-US" w:bidi="ar-SA"/>
        </w:rPr>
        <w:t xml:space="preserve"> The engagement hereunder is in effect as of the date hereof and will continue until </w:t>
      </w:r>
      <w:r>
        <w:rPr>
          <w:rFonts w:cs="Times New Roman"/>
          <w:sz w:val="22"/>
          <w:szCs w:val="22"/>
          <w:highlight w:val="yellow"/>
          <w:lang w:eastAsia="en-US" w:bidi="ar-SA"/>
        </w:rPr>
        <w:t>__________</w:t>
      </w:r>
      <w:r>
        <w:rPr>
          <w:rFonts w:cs="Times New Roman"/>
          <w:sz w:val="22"/>
          <w:szCs w:val="22"/>
          <w:lang w:eastAsia="en-US" w:bidi="ar-SA"/>
        </w:rPr>
        <w:t xml:space="preserve"> or earlier, if terminated as follows (the “</w:t>
      </w:r>
      <w:r>
        <w:rPr>
          <w:rFonts w:cs="Times New Roman"/>
          <w:b/>
          <w:bCs/>
          <w:sz w:val="22"/>
          <w:szCs w:val="22"/>
          <w:lang w:eastAsia="en-US" w:bidi="ar-SA"/>
        </w:rPr>
        <w:t>Term</w:t>
      </w:r>
      <w:r>
        <w:rPr>
          <w:rFonts w:cs="Times New Roman"/>
          <w:sz w:val="22"/>
          <w:szCs w:val="22"/>
          <w:lang w:eastAsia="en-US" w:bidi="ar-SA"/>
        </w:rPr>
        <w:t>”):</w:t>
      </w:r>
    </w:p>
    <w:p>
      <w:pPr>
        <w:pStyle w:val="Heading1"/>
        <w:numPr>
          <w:ilvl w:val="1"/>
          <w:numId w:val="3"/>
        </w:numPr>
        <w:ind w:left="1080" w:right="0" w:hanging="360"/>
        <w:jc w:val="both"/>
        <w:rPr>
          <w:rFonts w:cs="Times New Roman"/>
          <w:sz w:val="22"/>
          <w:szCs w:val="22"/>
          <w:lang w:eastAsia="en-US" w:bidi="ar-SA"/>
        </w:rPr>
      </w:pPr>
      <w:r>
        <w:rPr>
          <w:rFonts w:cs="Times New Roman"/>
          <w:sz w:val="22"/>
          <w:szCs w:val="22"/>
          <w:lang w:eastAsia="en-US" w:bidi="ar-SA"/>
        </w:rPr>
        <w:t>Advisor’s service as a member of the advisory board may be terminated at will by the Company at any time, effective immediately.</w:t>
      </w:r>
    </w:p>
    <w:p>
      <w:pPr>
        <w:pStyle w:val="Heading1"/>
        <w:numPr>
          <w:ilvl w:val="1"/>
          <w:numId w:val="3"/>
        </w:numPr>
        <w:ind w:left="1080" w:right="0" w:hanging="360"/>
        <w:jc w:val="both"/>
        <w:rPr>
          <w:rFonts w:cs="Times New Roman"/>
          <w:sz w:val="22"/>
          <w:szCs w:val="22"/>
          <w:lang w:eastAsia="en-US" w:bidi="ar-SA"/>
        </w:rPr>
      </w:pPr>
      <w:r>
        <w:rPr>
          <w:rFonts w:cs="Times New Roman"/>
          <w:sz w:val="22"/>
          <w:szCs w:val="22"/>
          <w:lang w:eastAsia="en-US" w:bidi="ar-SA"/>
        </w:rPr>
        <w:t>Sections 3 through 8 and Section 10 of this Agreement and any remedies for events of breach of this Agreement shall survive any termination or expiration hereunder.</w:t>
      </w:r>
    </w:p>
    <w:p>
      <w:pPr>
        <w:widowControl/>
        <w:numPr>
          <w:ilvl w:val="0"/>
          <w:numId w:val="3"/>
        </w:numPr>
        <w:overflowPunct w:val="0"/>
        <w:spacing w:after="120"/>
        <w:ind w:right="-20"/>
        <w:jc w:val="both"/>
        <w:textAlignment w:val="baseline"/>
        <w:rPr>
          <w:rFonts w:cs="David"/>
          <w:color w:val="000000"/>
          <w:sz w:val="22"/>
          <w:szCs w:val="22"/>
        </w:rPr>
      </w:pPr>
      <w:r>
        <w:rPr>
          <w:color w:val="000000"/>
          <w:sz w:val="22"/>
          <w:szCs w:val="22"/>
          <w:u w:val="single"/>
        </w:rPr>
        <w:t>Non-competition; Non-solicitation</w:t>
      </w:r>
      <w:r>
        <w:rPr>
          <w:rFonts w:hint="cs"/>
          <w:color w:val="000000"/>
          <w:sz w:val="22"/>
          <w:szCs w:val="22"/>
          <w:rtl/>
        </w:rPr>
        <w:t>.</w:t>
      </w:r>
      <w:r>
        <w:rPr>
          <w:color w:val="000000"/>
          <w:sz w:val="22"/>
          <w:szCs w:val="22"/>
        </w:rPr>
        <w:t xml:space="preserve"> </w:t>
      </w:r>
      <w:r>
        <w:rPr>
          <w:rFonts w:cs="David"/>
          <w:color w:val="000000"/>
          <w:sz w:val="22"/>
          <w:szCs w:val="22"/>
        </w:rPr>
        <w:t>Advisor agrees that, during the Term of this Agreement,</w:t>
      </w:r>
      <w:r>
        <w:rPr>
          <w:color w:val="000000"/>
          <w:sz w:val="22"/>
          <w:szCs w:val="22"/>
        </w:rPr>
        <w:t xml:space="preserve"> and for a period of 12 months following the effective date of termination of this Agreement,</w:t>
      </w:r>
      <w:r>
        <w:rPr>
          <w:rFonts w:cs="David"/>
          <w:color w:val="000000"/>
          <w:sz w:val="22"/>
          <w:szCs w:val="22"/>
        </w:rPr>
        <w:t xml:space="preserve"> Advisor will not perform similar work for competitors with the Company without the prior written consent of the Company</w:t>
      </w:r>
      <w:r>
        <w:rPr>
          <w:rFonts w:cs="David" w:hint="cs"/>
          <w:color w:val="000000"/>
          <w:sz w:val="22"/>
          <w:szCs w:val="22"/>
          <w:rtl/>
        </w:rPr>
        <w:t>.</w:t>
      </w:r>
      <w:r>
        <w:rPr>
          <w:rFonts w:cs="David"/>
          <w:color w:val="000000"/>
          <w:sz w:val="22"/>
          <w:szCs w:val="22"/>
        </w:rPr>
        <w:t xml:space="preserve"> </w:t>
      </w:r>
      <w:r>
        <w:rPr>
          <w:color w:val="000000"/>
          <w:sz w:val="22"/>
          <w:szCs w:val="22"/>
        </w:rPr>
        <w:t xml:space="preserve">Advisor hereby covenants that </w:t>
      </w:r>
      <w:r>
        <w:rPr>
          <w:color w:val="000000"/>
          <w:sz w:val="22"/>
          <w:szCs w:val="22"/>
        </w:rPr>
        <w:lastRenderedPageBreak/>
        <w:t>throughout the Term, and for a period of 12 months following the effective date of termination of this Agreement, Advisor will not, whether on his own account and/or on behalf of others, in any way offer, solicit, interfere with and/or endeavor to entice away from Company, any client, customer, supplier, employee, consultant or officer of the Company.</w:t>
      </w:r>
    </w:p>
    <w:p>
      <w:pPr>
        <w:pStyle w:val="Heading1"/>
        <w:numPr>
          <w:ilvl w:val="0"/>
          <w:numId w:val="3"/>
        </w:numPr>
        <w:ind w:right="0"/>
        <w:jc w:val="both"/>
        <w:rPr>
          <w:rFonts w:cs="Times New Roman"/>
          <w:sz w:val="22"/>
          <w:szCs w:val="22"/>
          <w:lang w:eastAsia="en-US" w:bidi="ar-SA"/>
        </w:rPr>
      </w:pPr>
      <w:r>
        <w:rPr>
          <w:rFonts w:cs="Times New Roman"/>
          <w:sz w:val="22"/>
          <w:szCs w:val="22"/>
          <w:u w:val="single"/>
          <w:lang w:eastAsia="en-US" w:bidi="ar-SA"/>
        </w:rPr>
        <w:t>Relationship of the Parties</w:t>
      </w:r>
      <w:r>
        <w:rPr>
          <w:rFonts w:cs="Times New Roman"/>
          <w:sz w:val="22"/>
          <w:szCs w:val="22"/>
          <w:lang w:eastAsia="en-US" w:bidi="ar-SA"/>
        </w:rPr>
        <w:t>. There shall be no employer-employee relationship between the parties hereto and each party shall be and act as an independent contractor. Neither party shall bind or attempt to bind the other party to any contract or obligation.</w:t>
      </w:r>
    </w:p>
    <w:p>
      <w:pPr>
        <w:pStyle w:val="Heading1"/>
        <w:numPr>
          <w:ilvl w:val="0"/>
          <w:numId w:val="3"/>
        </w:numPr>
        <w:ind w:right="0"/>
        <w:jc w:val="both"/>
        <w:rPr>
          <w:rFonts w:cs="Times New Roman"/>
          <w:sz w:val="22"/>
          <w:szCs w:val="22"/>
          <w:lang w:eastAsia="en-US" w:bidi="ar-SA"/>
        </w:rPr>
      </w:pPr>
      <w:r>
        <w:rPr>
          <w:rFonts w:cs="Times New Roman"/>
          <w:sz w:val="22"/>
          <w:szCs w:val="22"/>
          <w:u w:val="single"/>
          <w:lang w:eastAsia="en-US" w:bidi="ar-SA"/>
        </w:rPr>
        <w:t>Publications</w:t>
      </w:r>
      <w:r>
        <w:rPr>
          <w:rFonts w:cs="Times New Roman"/>
          <w:sz w:val="22"/>
          <w:szCs w:val="22"/>
          <w:lang w:eastAsia="en-US" w:bidi="ar-SA"/>
        </w:rPr>
        <w:t>. It is the Company’s policy and is hereby agreed that the Company shall maintain the right to freely publicize the names of its advisory board members during the Term.</w:t>
      </w:r>
    </w:p>
    <w:p>
      <w:pPr>
        <w:pStyle w:val="Heading1"/>
        <w:numPr>
          <w:ilvl w:val="0"/>
          <w:numId w:val="3"/>
        </w:numPr>
        <w:ind w:right="0"/>
        <w:jc w:val="both"/>
        <w:rPr>
          <w:rFonts w:cs="Times New Roman"/>
          <w:sz w:val="22"/>
          <w:szCs w:val="22"/>
          <w:lang w:eastAsia="en-US" w:bidi="ar-SA"/>
        </w:rPr>
      </w:pPr>
      <w:r>
        <w:rPr>
          <w:rFonts w:cs="Times New Roman"/>
          <w:sz w:val="22"/>
          <w:szCs w:val="22"/>
          <w:u w:val="single"/>
          <w:lang w:bidi="ar-SA"/>
        </w:rPr>
        <w:t>Miscellaneous.</w:t>
      </w:r>
      <w:r>
        <w:rPr>
          <w:rFonts w:cs="Times New Roman"/>
          <w:sz w:val="22"/>
          <w:szCs w:val="22"/>
          <w:lang w:bidi="ar-SA"/>
        </w:rPr>
        <w:t xml:space="preserve"> This Agreement and the Services performed hereunder are personal to the Advisor and the Advisor shall not have the right or ability to assign, transfer, or subcontract any obligations under this Agreement without the written consent of Company; Company shall be free to transfer this Agreement to a third party. No changes or modifications or waivers to this Agreement will be effective unless in writing and signed by both parties. In the event that any provision of this Agreement shall be determined to be illegal or unenforceable, that provision will be limited or eliminated to the minimum extent necessary so that this Agreement shall otherwise remain in full force and effect and enforceable. This Agreement shall be governed by and construed in accordance with the laws of the State of Israel and the competent courts of Tel-Aviv, Israel shall have sole and exclusive jurisdiction. This Agreement fully and exhaustively expresses the parties’ understanding and consensus in respect of the subjects or matters dealt with herein, and it replaces and renders null and void any representation, agreement, negotiations, offers and/or undertakings that prevailed or were exchanged between the parties on the said subject, and may not be amended, modified or supplemented, except by a subsequent writing executed by both parties hereto.</w:t>
      </w:r>
    </w:p>
    <w:p>
      <w:pPr>
        <w:pStyle w:val="Heading1"/>
        <w:numPr>
          <w:ilvl w:val="0"/>
          <w:numId w:val="0"/>
        </w:numPr>
        <w:ind w:right="0"/>
        <w:jc w:val="both"/>
        <w:rPr>
          <w:rFonts w:cs="Times New Roman"/>
          <w:sz w:val="22"/>
          <w:szCs w:val="22"/>
          <w:lang w:bidi="ar-SA"/>
        </w:rPr>
      </w:pPr>
      <w:r>
        <w:rPr>
          <w:sz w:val="22"/>
          <w:szCs w:val="22"/>
          <w:lang w:bidi="ar-SA"/>
        </w:rPr>
        <w:t>The parties hereto have executed this Agreement as of the Effective Date.</w:t>
      </w:r>
    </w:p>
    <w:p>
      <w:pPr>
        <w:pStyle w:val="Heading1"/>
        <w:numPr>
          <w:ilvl w:val="0"/>
          <w:numId w:val="0"/>
        </w:numPr>
        <w:ind w:right="0"/>
        <w:jc w:val="both"/>
        <w:rPr>
          <w:rFonts w:cs="Times New Roman"/>
          <w:sz w:val="22"/>
          <w:szCs w:val="22"/>
          <w:lang w:bidi="ar-SA"/>
        </w:rPr>
      </w:pPr>
    </w:p>
    <w:tbl>
      <w:tblPr>
        <w:tblW w:w="0" w:type="auto"/>
        <w:jc w:val="center"/>
        <w:tblLayout w:type="fixed"/>
        <w:tblLook w:val="0000" w:firstRow="0" w:lastRow="0" w:firstColumn="0" w:lastColumn="0" w:noHBand="0" w:noVBand="0"/>
      </w:tblPr>
      <w:tblGrid>
        <w:gridCol w:w="4410"/>
        <w:gridCol w:w="4590"/>
      </w:tblGrid>
      <w:tr>
        <w:trPr>
          <w:jc w:val="center"/>
        </w:trPr>
        <w:tc>
          <w:tcPr>
            <w:tcW w:w="4410" w:type="dxa"/>
            <w:tcBorders>
              <w:top w:val="nil"/>
              <w:left w:val="nil"/>
              <w:bottom w:val="nil"/>
              <w:right w:val="nil"/>
            </w:tcBorders>
          </w:tcPr>
          <w:p>
            <w:pPr>
              <w:spacing w:before="120"/>
              <w:jc w:val="center"/>
              <w:rPr>
                <w:sz w:val="22"/>
                <w:szCs w:val="22"/>
              </w:rPr>
            </w:pPr>
            <w:r>
              <w:rPr>
                <w:sz w:val="22"/>
                <w:szCs w:val="22"/>
                <w:highlight w:val="yellow"/>
                <w:lang w:bidi="ar-SA"/>
              </w:rPr>
              <w:t>__________</w:t>
            </w:r>
            <w:r>
              <w:rPr>
                <w:sz w:val="22"/>
                <w:szCs w:val="22"/>
              </w:rPr>
              <w:br/>
            </w:r>
            <w:r>
              <w:rPr>
                <w:sz w:val="22"/>
                <w:szCs w:val="22"/>
              </w:rPr>
              <w:br/>
              <w:t>By:</w:t>
            </w:r>
            <w:r>
              <w:rPr>
                <w:sz w:val="22"/>
                <w:szCs w:val="22"/>
              </w:rPr>
              <w:tab/>
              <w:t>____________________</w:t>
            </w:r>
            <w:r>
              <w:rPr>
                <w:sz w:val="22"/>
                <w:szCs w:val="22"/>
              </w:rPr>
              <w:br/>
              <w:t>Name:</w:t>
            </w:r>
            <w:r>
              <w:rPr>
                <w:sz w:val="22"/>
                <w:szCs w:val="22"/>
              </w:rPr>
              <w:tab/>
              <w:t>____________________</w:t>
            </w:r>
            <w:r>
              <w:rPr>
                <w:sz w:val="22"/>
                <w:szCs w:val="22"/>
              </w:rPr>
              <w:br/>
              <w:t>Title:</w:t>
            </w:r>
            <w:r>
              <w:rPr>
                <w:sz w:val="22"/>
                <w:szCs w:val="22"/>
              </w:rPr>
              <w:tab/>
              <w:t>____________________</w:t>
            </w:r>
          </w:p>
        </w:tc>
        <w:tc>
          <w:tcPr>
            <w:tcW w:w="4590" w:type="dxa"/>
            <w:tcBorders>
              <w:top w:val="nil"/>
              <w:left w:val="nil"/>
              <w:bottom w:val="nil"/>
              <w:right w:val="nil"/>
            </w:tcBorders>
          </w:tcPr>
          <w:p>
            <w:pPr>
              <w:jc w:val="center"/>
              <w:rPr>
                <w:sz w:val="22"/>
                <w:szCs w:val="22"/>
              </w:rPr>
            </w:pPr>
            <w:r>
              <w:rPr>
                <w:sz w:val="22"/>
                <w:szCs w:val="22"/>
              </w:rPr>
              <w:t>____________________</w:t>
            </w:r>
            <w:r>
              <w:rPr>
                <w:sz w:val="22"/>
                <w:szCs w:val="22"/>
              </w:rPr>
              <w:br/>
            </w:r>
            <w:r>
              <w:rPr>
                <w:sz w:val="22"/>
                <w:szCs w:val="22"/>
                <w:highlight w:val="yellow"/>
                <w:lang w:bidi="ar-SA"/>
              </w:rPr>
              <w:t>__________</w:t>
            </w:r>
            <w:r>
              <w:rPr>
                <w:sz w:val="22"/>
                <w:szCs w:val="22"/>
              </w:rPr>
              <w:br/>
            </w:r>
          </w:p>
        </w:tc>
      </w:tr>
    </w:tbl>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jc w:val="both"/>
        <w:rPr>
          <w:sz w:val="22"/>
          <w:szCs w:val="22"/>
          <w:lang w:bidi="ar-SA"/>
        </w:rPr>
      </w:pPr>
    </w:p>
    <w:p>
      <w:pPr>
        <w:pStyle w:val="BodyText"/>
        <w:spacing w:before="63"/>
        <w:ind w:right="168"/>
        <w:jc w:val="center"/>
        <w:rPr>
          <w:rFonts w:asciiTheme="majorBidi" w:hAnsiTheme="majorBidi" w:cstheme="majorBidi"/>
          <w:b/>
          <w:bCs/>
          <w:u w:val="single"/>
        </w:rPr>
      </w:pPr>
    </w:p>
    <w:p>
      <w:pPr>
        <w:pStyle w:val="BodyText"/>
        <w:spacing w:before="63"/>
        <w:ind w:right="168"/>
        <w:jc w:val="center"/>
        <w:rPr>
          <w:rFonts w:asciiTheme="majorBidi" w:hAnsiTheme="majorBidi" w:cstheme="majorBidi"/>
          <w:b/>
          <w:bCs/>
          <w:u w:val="single"/>
        </w:rPr>
      </w:pPr>
      <w:r>
        <w:rPr>
          <w:rFonts w:asciiTheme="majorBidi" w:hAnsiTheme="majorBidi" w:cstheme="majorBidi"/>
          <w:b/>
          <w:bCs/>
          <w:u w:val="single"/>
        </w:rPr>
        <w:lastRenderedPageBreak/>
        <w:t>Exhibit A</w:t>
      </w:r>
    </w:p>
    <w:p>
      <w:pPr>
        <w:pStyle w:val="BodyText"/>
        <w:spacing w:before="63"/>
        <w:ind w:right="168"/>
        <w:jc w:val="center"/>
        <w:rPr>
          <w:rFonts w:asciiTheme="majorBidi" w:hAnsiTheme="majorBidi" w:cstheme="majorBidi"/>
          <w:i/>
          <w:iCs/>
          <w:sz w:val="20"/>
          <w:szCs w:val="20"/>
        </w:rPr>
      </w:pPr>
      <w:r>
        <w:rPr>
          <w:rFonts w:asciiTheme="majorBidi" w:hAnsiTheme="majorBidi" w:cstheme="majorBidi"/>
          <w:i/>
          <w:iCs/>
          <w:sz w:val="20"/>
          <w:szCs w:val="20"/>
        </w:rPr>
        <w:t>The Consideration</w:t>
      </w:r>
    </w:p>
    <w:p>
      <w:pPr>
        <w:widowControl/>
        <w:autoSpaceDE/>
        <w:autoSpaceDN/>
        <w:adjustRightInd/>
        <w:spacing w:before="100" w:beforeAutospacing="1" w:after="100" w:afterAutospacing="1"/>
        <w:ind w:right="-328"/>
        <w:jc w:val="both"/>
        <w:rPr>
          <w:sz w:val="20"/>
          <w:szCs w:val="20"/>
        </w:rPr>
      </w:pPr>
      <w:r>
        <w:rPr>
          <w:sz w:val="20"/>
          <w:szCs w:val="20"/>
        </w:rPr>
        <w:t>Subject to the approval of the Board of Directors of the Company, the Company shall grant to you an option to purchase [</w:t>
      </w:r>
      <w:r>
        <w:rPr>
          <w:sz w:val="20"/>
          <w:szCs w:val="20"/>
          <w:highlight w:val="yellow"/>
        </w:rPr>
        <w:t>_______</w:t>
      </w:r>
      <w:r>
        <w:rPr>
          <w:sz w:val="20"/>
          <w:szCs w:val="20"/>
        </w:rPr>
        <w:t xml:space="preserve">] Ordinary Shares of the Company (the </w:t>
      </w:r>
      <w:r>
        <w:rPr>
          <w:b/>
          <w:bCs/>
          <w:sz w:val="20"/>
          <w:szCs w:val="20"/>
        </w:rPr>
        <w:t>“Option”</w:t>
      </w:r>
      <w:r>
        <w:rPr>
          <w:sz w:val="20"/>
          <w:szCs w:val="20"/>
        </w:rPr>
        <w:t xml:space="preserve">). The Option shall be </w:t>
      </w:r>
      <w:r>
        <w:rPr>
          <w:color w:val="000000"/>
          <w:sz w:val="20"/>
          <w:szCs w:val="20"/>
        </w:rPr>
        <w:t>governed by</w:t>
      </w:r>
      <w:r>
        <w:rPr>
          <w:color w:val="000000"/>
          <w:sz w:val="20"/>
        </w:rPr>
        <w:t xml:space="preserve"> the </w:t>
      </w:r>
      <w:r>
        <w:rPr>
          <w:color w:val="000000"/>
          <w:sz w:val="20"/>
          <w:szCs w:val="20"/>
        </w:rPr>
        <w:t xml:space="preserve">terms of an option plan to be adopted by the Company </w:t>
      </w:r>
      <w:r>
        <w:rPr>
          <w:sz w:val="20"/>
          <w:szCs w:val="20"/>
        </w:rPr>
        <w:t>and the following terms:</w:t>
      </w:r>
    </w:p>
    <w:p>
      <w:pPr>
        <w:pStyle w:val="ListParagraph"/>
        <w:widowControl/>
        <w:numPr>
          <w:ilvl w:val="1"/>
          <w:numId w:val="47"/>
        </w:numPr>
        <w:autoSpaceDE/>
        <w:autoSpaceDN/>
        <w:adjustRightInd/>
        <w:spacing w:before="100" w:beforeAutospacing="1" w:after="100" w:afterAutospacing="1"/>
        <w:ind w:right="-328"/>
        <w:jc w:val="both"/>
        <w:rPr>
          <w:sz w:val="20"/>
          <w:szCs w:val="20"/>
        </w:rPr>
      </w:pPr>
      <w:r>
        <w:rPr>
          <w:sz w:val="20"/>
          <w:szCs w:val="20"/>
        </w:rPr>
        <w:t xml:space="preserve">The exercise price of the shares subject to the Option shall be equal to the nominal value of the shares and no more than </w:t>
      </w:r>
      <w:r>
        <w:rPr>
          <w:sz w:val="20"/>
          <w:szCs w:val="20"/>
          <w:highlight w:val="yellow"/>
        </w:rPr>
        <w:t>NIS 1</w:t>
      </w:r>
      <w:r>
        <w:rPr>
          <w:sz w:val="20"/>
          <w:szCs w:val="20"/>
        </w:rPr>
        <w:t xml:space="preserve"> per share. </w:t>
      </w:r>
    </w:p>
    <w:p>
      <w:pPr>
        <w:pStyle w:val="ListParagraph"/>
        <w:widowControl/>
        <w:numPr>
          <w:ilvl w:val="1"/>
          <w:numId w:val="47"/>
        </w:numPr>
        <w:autoSpaceDE/>
        <w:autoSpaceDN/>
        <w:adjustRightInd/>
        <w:spacing w:before="100" w:beforeAutospacing="1" w:after="100" w:afterAutospacing="1"/>
        <w:ind w:right="-328"/>
        <w:jc w:val="both"/>
        <w:rPr>
          <w:sz w:val="20"/>
          <w:szCs w:val="20"/>
        </w:rPr>
      </w:pPr>
      <w:r>
        <w:rPr>
          <w:sz w:val="20"/>
          <w:szCs w:val="20"/>
        </w:rPr>
        <w:t xml:space="preserve">For so long as you are providing the Services, the Option shall vest monthly over </w:t>
      </w:r>
      <w:r>
        <w:rPr>
          <w:sz w:val="22"/>
          <w:szCs w:val="22"/>
          <w:highlight w:val="yellow"/>
          <w:lang w:bidi="ar-SA"/>
        </w:rPr>
        <w:t>__________</w:t>
      </w:r>
      <w:r>
        <w:rPr>
          <w:sz w:val="20"/>
          <w:szCs w:val="20"/>
        </w:rPr>
        <w:t>, with 25% of the shares subject to the option vesting [</w:t>
      </w:r>
      <w:r>
        <w:rPr>
          <w:sz w:val="20"/>
          <w:szCs w:val="20"/>
          <w:highlight w:val="yellow"/>
        </w:rPr>
        <w:t>__</w:t>
      </w:r>
      <w:r>
        <w:rPr>
          <w:sz w:val="20"/>
          <w:szCs w:val="20"/>
        </w:rPr>
        <w:t>] months after [</w:t>
      </w:r>
      <w:r>
        <w:rPr>
          <w:sz w:val="20"/>
          <w:szCs w:val="20"/>
          <w:highlight w:val="yellow"/>
        </w:rPr>
        <w:t>_____</w:t>
      </w:r>
      <w:r>
        <w:rPr>
          <w:sz w:val="20"/>
          <w:szCs w:val="20"/>
        </w:rPr>
        <w:t>], and the reminder in equal portions at the end of every month over the following [</w:t>
      </w:r>
      <w:r>
        <w:rPr>
          <w:sz w:val="20"/>
          <w:szCs w:val="20"/>
          <w:highlight w:val="yellow"/>
        </w:rPr>
        <w:t>__</w:t>
      </w:r>
      <w:r>
        <w:rPr>
          <w:sz w:val="20"/>
          <w:szCs w:val="20"/>
        </w:rPr>
        <w:t xml:space="preserve">] months, provided that Advisor provides Services at a scope as agreed upon. </w:t>
      </w:r>
    </w:p>
    <w:p>
      <w:pPr>
        <w:pStyle w:val="ListParagraph"/>
        <w:widowControl/>
        <w:numPr>
          <w:ilvl w:val="1"/>
          <w:numId w:val="47"/>
        </w:numPr>
        <w:autoSpaceDE/>
        <w:autoSpaceDN/>
        <w:adjustRightInd/>
        <w:spacing w:before="100" w:beforeAutospacing="1" w:after="100" w:afterAutospacing="1"/>
        <w:ind w:right="-328"/>
        <w:jc w:val="both"/>
        <w:rPr>
          <w:sz w:val="20"/>
          <w:szCs w:val="20"/>
        </w:rPr>
      </w:pPr>
      <w:r>
        <w:rPr>
          <w:sz w:val="20"/>
          <w:szCs w:val="20"/>
        </w:rPr>
        <w:t xml:space="preserve">Upon termination of your Services, the Option will immediately expire, and the vested portion of the Option may be exercised by you within ninety (90) days after the termination of your Services. </w:t>
      </w:r>
    </w:p>
    <w:p>
      <w:pPr>
        <w:pStyle w:val="ListParagraph"/>
        <w:widowControl/>
        <w:numPr>
          <w:ilvl w:val="1"/>
          <w:numId w:val="47"/>
        </w:numPr>
        <w:autoSpaceDE/>
        <w:autoSpaceDN/>
        <w:adjustRightInd/>
        <w:spacing w:before="100" w:beforeAutospacing="1" w:after="100" w:afterAutospacing="1"/>
        <w:ind w:right="-328"/>
        <w:jc w:val="both"/>
        <w:rPr>
          <w:sz w:val="20"/>
          <w:szCs w:val="20"/>
        </w:rPr>
      </w:pPr>
      <w:r>
        <w:rPr>
          <w:sz w:val="20"/>
          <w:szCs w:val="20"/>
        </w:rPr>
        <w:t>The Option and the shares underlying the Option, and any beneficial interest therein, may not be transferred, assigned, hypothecated, pledged, encumbered or otherwise disposed of in any manner (whether for value or no value and whether by will or by operation of law).</w:t>
      </w:r>
    </w:p>
    <w:p>
      <w:pPr>
        <w:pStyle w:val="ListParagraph"/>
        <w:widowControl/>
        <w:numPr>
          <w:ilvl w:val="1"/>
          <w:numId w:val="47"/>
        </w:numPr>
        <w:autoSpaceDE/>
        <w:autoSpaceDN/>
        <w:adjustRightInd/>
        <w:spacing w:before="100" w:beforeAutospacing="1" w:after="100" w:afterAutospacing="1"/>
        <w:ind w:right="-328"/>
        <w:jc w:val="both"/>
        <w:rPr>
          <w:sz w:val="20"/>
          <w:szCs w:val="20"/>
        </w:rPr>
      </w:pPr>
      <w:r>
        <w:rPr>
          <w:sz w:val="20"/>
          <w:szCs w:val="20"/>
        </w:rPr>
        <w:t>The shares to be issued to you upon the exercise of the Option shall be subject to the execution by you of an irrevocable proxy, and other restrictions as set forth in the option p</w:t>
      </w:r>
      <w:r>
        <w:rPr>
          <w:bCs/>
          <w:sz w:val="20"/>
          <w:szCs w:val="20"/>
        </w:rPr>
        <w:t>lan</w:t>
      </w:r>
      <w:r>
        <w:rPr>
          <w:sz w:val="20"/>
          <w:szCs w:val="20"/>
        </w:rPr>
        <w:t xml:space="preserve"> to be adopted by the Company and in the Company's Articles of Association as then in effect.</w:t>
      </w: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widowControl/>
        <w:autoSpaceDE/>
        <w:autoSpaceDN/>
        <w:adjustRightInd/>
        <w:rPr>
          <w:sz w:val="22"/>
          <w:szCs w:val="22"/>
          <w:lang w:bidi="ar-SA"/>
        </w:rPr>
      </w:pPr>
    </w:p>
    <w:p>
      <w:pPr>
        <w:pStyle w:val="BodyText"/>
        <w:spacing w:before="63"/>
        <w:ind w:right="168"/>
        <w:jc w:val="center"/>
        <w:rPr>
          <w:rFonts w:asciiTheme="majorBidi" w:hAnsiTheme="majorBidi" w:cstheme="majorBidi"/>
          <w:b/>
          <w:bCs/>
          <w:u w:val="single"/>
        </w:rPr>
      </w:pPr>
      <w:r>
        <w:rPr>
          <w:rFonts w:asciiTheme="majorBidi" w:hAnsiTheme="majorBidi" w:cstheme="majorBidi"/>
          <w:b/>
          <w:bCs/>
          <w:u w:val="single"/>
        </w:rPr>
        <w:lastRenderedPageBreak/>
        <w:t>Exhibit B</w:t>
      </w:r>
    </w:p>
    <w:p>
      <w:pPr>
        <w:pStyle w:val="BodyText"/>
        <w:spacing w:before="63"/>
        <w:ind w:right="168"/>
        <w:jc w:val="center"/>
        <w:rPr>
          <w:rFonts w:asciiTheme="majorBidi" w:hAnsiTheme="majorBidi" w:cstheme="majorBidi"/>
          <w:i/>
          <w:iCs/>
          <w:sz w:val="20"/>
          <w:szCs w:val="20"/>
        </w:rPr>
      </w:pPr>
      <w:r>
        <w:rPr>
          <w:rFonts w:asciiTheme="majorBidi" w:hAnsiTheme="majorBidi" w:cstheme="majorBidi"/>
          <w:i/>
          <w:iCs/>
          <w:sz w:val="20"/>
          <w:szCs w:val="20"/>
        </w:rPr>
        <w:t>Confidential Information Agreement</w:t>
      </w:r>
    </w:p>
    <w:p>
      <w:pPr>
        <w:ind w:left="-142" w:right="-334"/>
        <w:jc w:val="center"/>
        <w:rPr>
          <w:b/>
          <w:bCs/>
          <w:sz w:val="22"/>
          <w:szCs w:val="22"/>
        </w:rPr>
      </w:pPr>
    </w:p>
    <w:p>
      <w:pPr>
        <w:ind w:left="-142" w:right="-334"/>
        <w:jc w:val="both"/>
        <w:rPr>
          <w:sz w:val="22"/>
          <w:szCs w:val="22"/>
        </w:rPr>
      </w:pPr>
      <w:r>
        <w:rPr>
          <w:sz w:val="22"/>
          <w:szCs w:val="22"/>
        </w:rPr>
        <w:t xml:space="preserve">THIS CONFIDENTIAL INFORMATION AGREEMENT is made as of February </w:t>
      </w:r>
      <w:r>
        <w:rPr>
          <w:sz w:val="22"/>
          <w:szCs w:val="22"/>
          <w:highlight w:val="yellow"/>
        </w:rPr>
        <w:t>__</w:t>
      </w:r>
      <w:r>
        <w:rPr>
          <w:sz w:val="22"/>
          <w:szCs w:val="22"/>
        </w:rPr>
        <w:t xml:space="preserve">, 2022 between </w:t>
      </w:r>
      <w:r>
        <w:rPr>
          <w:sz w:val="22"/>
          <w:szCs w:val="22"/>
          <w:highlight w:val="yellow"/>
          <w:lang w:bidi="ar-SA"/>
        </w:rPr>
        <w:t>__________</w:t>
      </w:r>
      <w:r>
        <w:rPr>
          <w:sz w:val="22"/>
          <w:szCs w:val="22"/>
        </w:rPr>
        <w:t xml:space="preserve"> (the "</w:t>
      </w:r>
      <w:r>
        <w:rPr>
          <w:b/>
          <w:bCs/>
          <w:sz w:val="22"/>
          <w:szCs w:val="22"/>
        </w:rPr>
        <w:t>Company</w:t>
      </w:r>
      <w:r>
        <w:rPr>
          <w:sz w:val="22"/>
          <w:szCs w:val="22"/>
        </w:rPr>
        <w:t>”), and the undersigned (the “</w:t>
      </w:r>
      <w:r>
        <w:rPr>
          <w:b/>
          <w:bCs/>
          <w:sz w:val="22"/>
          <w:szCs w:val="22"/>
        </w:rPr>
        <w:t>Promisor</w:t>
      </w:r>
      <w:r>
        <w:rPr>
          <w:sz w:val="22"/>
          <w:szCs w:val="22"/>
        </w:rPr>
        <w:t>”). The parties agree as follows:</w:t>
      </w:r>
    </w:p>
    <w:p>
      <w:pPr>
        <w:ind w:left="-142" w:right="-334"/>
        <w:jc w:val="both"/>
        <w:rPr>
          <w:sz w:val="22"/>
          <w:szCs w:val="22"/>
        </w:rPr>
      </w:pPr>
    </w:p>
    <w:p>
      <w:pPr>
        <w:ind w:left="-142" w:right="-334"/>
        <w:jc w:val="both"/>
        <w:rPr>
          <w:sz w:val="22"/>
          <w:szCs w:val="22"/>
        </w:rPr>
      </w:pPr>
      <w:r>
        <w:rPr>
          <w:sz w:val="22"/>
          <w:szCs w:val="22"/>
        </w:rPr>
        <w:t>1.</w:t>
      </w:r>
      <w:r>
        <w:rPr>
          <w:sz w:val="22"/>
          <w:szCs w:val="22"/>
        </w:rPr>
        <w:tab/>
      </w:r>
      <w:r>
        <w:rPr>
          <w:sz w:val="22"/>
          <w:szCs w:val="22"/>
          <w:u w:val="single"/>
        </w:rPr>
        <w:t>Confidentiality</w:t>
      </w:r>
      <w:r>
        <w:rPr>
          <w:sz w:val="22"/>
          <w:szCs w:val="22"/>
        </w:rPr>
        <w:t xml:space="preserve">. Promisor shall maintain in confidence and not publish or otherwise disclose or use for any purpose other than providing services to the Company or at the request of the Company, all Confidential Information, whether disclosed in writing, orally or by drawings or inspection of tangibles. “Confidential Information” means all Company's scientific, technical, financial, marketing and business and other proprietary information, including confidential information of third parties disclosed to the Company and the terms of the advisory board Agreement to which this Exhibit A is attached, and excluding information which (i) is or later becomes publicly known under circumstances involving no breach of this Agreement or (ii) was known to Promisor before the date of this Agreement as demonstrated by Promisor’s records. </w:t>
      </w:r>
    </w:p>
    <w:p>
      <w:pPr>
        <w:ind w:left="-142" w:right="-334"/>
        <w:jc w:val="both"/>
        <w:rPr>
          <w:sz w:val="22"/>
          <w:szCs w:val="22"/>
        </w:rPr>
      </w:pPr>
    </w:p>
    <w:p>
      <w:pPr>
        <w:ind w:left="-142" w:right="-334"/>
        <w:jc w:val="both"/>
        <w:rPr>
          <w:sz w:val="22"/>
          <w:szCs w:val="22"/>
        </w:rPr>
      </w:pPr>
      <w:r>
        <w:rPr>
          <w:sz w:val="22"/>
          <w:szCs w:val="22"/>
        </w:rPr>
        <w:t>2.</w:t>
      </w:r>
      <w:r>
        <w:rPr>
          <w:sz w:val="22"/>
          <w:szCs w:val="22"/>
        </w:rPr>
        <w:tab/>
      </w:r>
      <w:r>
        <w:rPr>
          <w:sz w:val="22"/>
          <w:szCs w:val="22"/>
          <w:u w:val="single"/>
        </w:rPr>
        <w:t>Ownership of Materials</w:t>
      </w:r>
      <w:r>
        <w:rPr>
          <w:sz w:val="22"/>
          <w:szCs w:val="22"/>
        </w:rPr>
        <w:t>. All materials received from, or generated or acquired in the performance of services for the Company shall be the Company's property.  Promisor shall deliver all such materials to the Company upon the termination of Promisor’s relationship with the Company, or earlier if so requested by the Company.  Promisor’s shall not use any such material for any purpose other than performing services for and as requested by the Company.</w:t>
      </w:r>
    </w:p>
    <w:p>
      <w:pPr>
        <w:ind w:left="-142" w:right="-334"/>
        <w:jc w:val="both"/>
        <w:rPr>
          <w:sz w:val="22"/>
          <w:szCs w:val="22"/>
        </w:rPr>
      </w:pPr>
    </w:p>
    <w:p>
      <w:pPr>
        <w:ind w:left="-142" w:right="-334"/>
        <w:jc w:val="both"/>
        <w:rPr>
          <w:sz w:val="22"/>
          <w:szCs w:val="22"/>
        </w:rPr>
      </w:pPr>
      <w:r>
        <w:rPr>
          <w:sz w:val="22"/>
          <w:szCs w:val="22"/>
        </w:rPr>
        <w:t>3.</w:t>
      </w:r>
      <w:r>
        <w:rPr>
          <w:sz w:val="22"/>
          <w:szCs w:val="22"/>
        </w:rPr>
        <w:tab/>
      </w:r>
      <w:r>
        <w:rPr>
          <w:sz w:val="22"/>
          <w:szCs w:val="22"/>
          <w:u w:val="single"/>
        </w:rPr>
        <w:t>Ownership of Discoveries</w:t>
      </w:r>
      <w:r>
        <w:rPr>
          <w:sz w:val="22"/>
          <w:szCs w:val="22"/>
        </w:rPr>
        <w:t>. Promisor will promptly disclose to the Company all scientific, technical, financial, marketing and other business innovations, whether or not patentable or copyrightable, which are made by Promisor in the course of performing services for the Company, or at the request of the Company, or are based upon or incorporate any Confidential Information of the Company (the "</w:t>
      </w:r>
      <w:r>
        <w:rPr>
          <w:b/>
          <w:bCs/>
          <w:sz w:val="22"/>
          <w:szCs w:val="22"/>
        </w:rPr>
        <w:t>Discoveries</w:t>
      </w:r>
      <w:r>
        <w:rPr>
          <w:sz w:val="22"/>
          <w:szCs w:val="22"/>
        </w:rPr>
        <w:t>"). Discoveries are developed on a work-for-hire basis, are the sole and exclusive property of the Company, and are deemed to be Confidential Information. Without limiting the above, Promiser will promptly assign to the Company, Promisor’s entire right, title and interest in all Discoveries.</w:t>
      </w:r>
    </w:p>
    <w:p>
      <w:pPr>
        <w:ind w:left="-142" w:right="-334"/>
        <w:jc w:val="both"/>
        <w:rPr>
          <w:sz w:val="22"/>
          <w:szCs w:val="22"/>
        </w:rPr>
      </w:pPr>
    </w:p>
    <w:p>
      <w:pPr>
        <w:ind w:left="-142" w:right="-334"/>
        <w:jc w:val="both"/>
        <w:rPr>
          <w:sz w:val="22"/>
          <w:szCs w:val="22"/>
        </w:rPr>
      </w:pPr>
      <w:r>
        <w:rPr>
          <w:sz w:val="22"/>
          <w:szCs w:val="22"/>
        </w:rPr>
        <w:t>4.</w:t>
      </w:r>
      <w:r>
        <w:rPr>
          <w:sz w:val="22"/>
          <w:szCs w:val="22"/>
        </w:rPr>
        <w:tab/>
      </w:r>
      <w:r>
        <w:rPr>
          <w:sz w:val="22"/>
          <w:szCs w:val="22"/>
          <w:u w:val="single"/>
        </w:rPr>
        <w:t>Duty to Assist</w:t>
      </w:r>
      <w:r>
        <w:rPr>
          <w:sz w:val="22"/>
          <w:szCs w:val="22"/>
        </w:rPr>
        <w:t>. Promisor shall take all steps reasonably necessary to assist the Company in obtaining and enforcing any patent, copyright or other protection which the Company elects to obtain or enforce for the Discoveries in any and all countries, including the disclosure to the Company of all pertinent information and data thereto and the execution of all documents relating thereto. Promisor’s obligations shall continue beyond the termination of Promisor’s advisor relationship with the Company, but the Company shall compensate Promisor at a reasonable rate after the termination of such relationship for time actually spent at the Company’s request providing such assistance.  If the Company is unable, after reasonable effort, to secure Promisor’s signature on any document needed to apply for, prosecute or enforce any patent, copyright or other protection relating to Discoveries, whether because of Promisor’s physical or mental incapacity or for any reason whatsoever, Promisor hereby irrevocably designates and appoints the Company and its duly authorized officers and agents as Promisor’s agent and attorney-in-fact, to act for and in Promisor’s behalf and stead to execute and file any such document and to do all other lawfully permitted acts to further the persecution and enforcement of patents, copyrights or similar protections with the same legal force and effect as if executed by Promisor.</w:t>
      </w:r>
    </w:p>
    <w:p>
      <w:pPr>
        <w:ind w:left="-142" w:right="-334"/>
        <w:jc w:val="both"/>
        <w:rPr>
          <w:sz w:val="22"/>
          <w:szCs w:val="22"/>
        </w:rPr>
      </w:pPr>
    </w:p>
    <w:p>
      <w:pPr>
        <w:ind w:left="-142" w:right="-334"/>
        <w:jc w:val="both"/>
        <w:rPr>
          <w:sz w:val="22"/>
          <w:szCs w:val="22"/>
        </w:rPr>
      </w:pPr>
      <w:r>
        <w:rPr>
          <w:sz w:val="22"/>
          <w:szCs w:val="22"/>
        </w:rPr>
        <w:t>5.</w:t>
      </w:r>
      <w:r>
        <w:rPr>
          <w:sz w:val="22"/>
          <w:szCs w:val="22"/>
        </w:rPr>
        <w:tab/>
      </w:r>
      <w:r>
        <w:rPr>
          <w:sz w:val="22"/>
          <w:szCs w:val="22"/>
          <w:u w:val="single"/>
        </w:rPr>
        <w:t>No Violation</w:t>
      </w:r>
      <w:r>
        <w:rPr>
          <w:sz w:val="22"/>
          <w:szCs w:val="22"/>
        </w:rPr>
        <w:t>. Promisor represents that Promisor’s compliance with the terms of this Agreement, Promisor’s provision of services to the Company, and Promisor’s acceptance of an option to purchase the Company’s Common Stock will not violate any duty which Promisor may have to any other party (such as present or former employer), including among others confidentiality or assignment of inventions. Promisor will not do anything in the performance of services for the Company that would violate any such duty.</w:t>
      </w:r>
    </w:p>
    <w:p>
      <w:pPr>
        <w:ind w:left="-142" w:right="-334"/>
        <w:jc w:val="both"/>
        <w:rPr>
          <w:sz w:val="22"/>
          <w:szCs w:val="22"/>
        </w:rPr>
      </w:pPr>
    </w:p>
    <w:p>
      <w:pPr>
        <w:ind w:left="-142" w:right="-334"/>
        <w:jc w:val="both"/>
        <w:rPr>
          <w:sz w:val="22"/>
          <w:szCs w:val="22"/>
        </w:rPr>
      </w:pPr>
      <w:r>
        <w:rPr>
          <w:sz w:val="22"/>
          <w:szCs w:val="22"/>
        </w:rPr>
        <w:t>6.</w:t>
      </w:r>
      <w:r>
        <w:rPr>
          <w:sz w:val="22"/>
          <w:szCs w:val="22"/>
        </w:rPr>
        <w:tab/>
      </w:r>
      <w:r>
        <w:rPr>
          <w:sz w:val="22"/>
          <w:szCs w:val="22"/>
          <w:u w:val="single"/>
        </w:rPr>
        <w:t>General</w:t>
      </w:r>
      <w:r>
        <w:rPr>
          <w:sz w:val="22"/>
          <w:szCs w:val="22"/>
        </w:rPr>
        <w:t>. This Agreement is the entire agreement between the Company and Promisor concerning its subject matter, and shall survive the termination of the relationship between Promisor and The Company. This Agreement shall apply to and benefit any successor to or transferee of the rights of the Company. This Agreement may only be amended or modified by a writing signed by both parties. This Agreement shall be governed by the laws of Israel without giving effect to its conflict of law principles. The courts in Israel shall have exclusive jurisdiction to adjudicate any dispute arising out of or in connection with this Agreement.</w:t>
      </w:r>
    </w:p>
    <w:p>
      <w:pPr>
        <w:tabs>
          <w:tab w:val="left" w:pos="5040"/>
          <w:tab w:val="left" w:pos="5760"/>
        </w:tabs>
        <w:ind w:right="-334"/>
        <w:jc w:val="both"/>
        <w:rPr>
          <w:sz w:val="22"/>
          <w:szCs w:val="22"/>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2783"/>
        <w:gridCol w:w="2806"/>
      </w:tblGrid>
      <w:tr>
        <w:tc>
          <w:tcPr>
            <w:tcW w:w="3648" w:type="dxa"/>
          </w:tcPr>
          <w:p>
            <w:pPr>
              <w:ind w:right="-39"/>
              <w:jc w:val="center"/>
              <w:rPr>
                <w:rFonts w:cs="Times New Roman"/>
                <w:b/>
                <w:bCs/>
                <w:sz w:val="22"/>
                <w:szCs w:val="22"/>
              </w:rPr>
            </w:pPr>
            <w:r>
              <w:rPr>
                <w:rFonts w:cs="Times New Roman"/>
                <w:b/>
                <w:bCs/>
                <w:sz w:val="22"/>
                <w:szCs w:val="22"/>
              </w:rPr>
              <w:t>________________</w:t>
            </w:r>
          </w:p>
        </w:tc>
        <w:tc>
          <w:tcPr>
            <w:tcW w:w="2783" w:type="dxa"/>
          </w:tcPr>
          <w:p>
            <w:pPr>
              <w:ind w:left="360" w:right="360"/>
              <w:jc w:val="both"/>
              <w:rPr>
                <w:rFonts w:cs="Times New Roman"/>
                <w:sz w:val="22"/>
                <w:szCs w:val="22"/>
              </w:rPr>
            </w:pPr>
          </w:p>
        </w:tc>
        <w:tc>
          <w:tcPr>
            <w:tcW w:w="2806" w:type="dxa"/>
          </w:tcPr>
          <w:p>
            <w:pPr>
              <w:ind w:left="360" w:right="360"/>
              <w:jc w:val="center"/>
              <w:rPr>
                <w:rFonts w:cs="Times New Roman"/>
                <w:sz w:val="22"/>
                <w:szCs w:val="22"/>
              </w:rPr>
            </w:pPr>
            <w:r>
              <w:rPr>
                <w:rFonts w:cs="Times New Roman"/>
                <w:b/>
                <w:bCs/>
                <w:sz w:val="22"/>
                <w:szCs w:val="22"/>
              </w:rPr>
              <w:t>_________________</w:t>
            </w:r>
          </w:p>
        </w:tc>
      </w:tr>
      <w:tr>
        <w:tc>
          <w:tcPr>
            <w:tcW w:w="3648" w:type="dxa"/>
          </w:tcPr>
          <w:p>
            <w:pPr>
              <w:ind w:right="-39"/>
              <w:jc w:val="center"/>
              <w:rPr>
                <w:rFonts w:cs="Times New Roman"/>
                <w:sz w:val="22"/>
                <w:szCs w:val="22"/>
              </w:rPr>
            </w:pPr>
            <w:r>
              <w:rPr>
                <w:rFonts w:cs="Times New Roman"/>
                <w:sz w:val="22"/>
                <w:szCs w:val="22"/>
                <w:highlight w:val="yellow"/>
                <w:lang w:bidi="ar-SA"/>
              </w:rPr>
              <w:t>__________</w:t>
            </w:r>
          </w:p>
        </w:tc>
        <w:tc>
          <w:tcPr>
            <w:tcW w:w="2783" w:type="dxa"/>
          </w:tcPr>
          <w:p>
            <w:pPr>
              <w:ind w:left="360" w:right="360"/>
              <w:jc w:val="both"/>
              <w:rPr>
                <w:rFonts w:cs="Times New Roman"/>
                <w:sz w:val="22"/>
                <w:szCs w:val="22"/>
              </w:rPr>
            </w:pPr>
          </w:p>
        </w:tc>
        <w:tc>
          <w:tcPr>
            <w:tcW w:w="2806" w:type="dxa"/>
          </w:tcPr>
          <w:p>
            <w:pPr>
              <w:ind w:left="360" w:right="360"/>
              <w:jc w:val="center"/>
              <w:rPr>
                <w:sz w:val="22"/>
                <w:szCs w:val="22"/>
              </w:rPr>
            </w:pPr>
            <w:r>
              <w:rPr>
                <w:sz w:val="22"/>
                <w:szCs w:val="22"/>
              </w:rPr>
              <w:t xml:space="preserve">Promisor </w:t>
            </w:r>
          </w:p>
        </w:tc>
      </w:tr>
      <w:tr>
        <w:tc>
          <w:tcPr>
            <w:tcW w:w="3648" w:type="dxa"/>
          </w:tcPr>
          <w:p>
            <w:pPr>
              <w:ind w:right="-39"/>
              <w:jc w:val="both"/>
              <w:rPr>
                <w:rFonts w:cs="Times New Roman"/>
                <w:sz w:val="22"/>
                <w:szCs w:val="22"/>
              </w:rPr>
            </w:pPr>
          </w:p>
        </w:tc>
        <w:tc>
          <w:tcPr>
            <w:tcW w:w="2783" w:type="dxa"/>
          </w:tcPr>
          <w:p>
            <w:pPr>
              <w:ind w:left="360" w:right="360"/>
              <w:jc w:val="both"/>
              <w:rPr>
                <w:rFonts w:cs="Times New Roman"/>
                <w:sz w:val="22"/>
                <w:szCs w:val="22"/>
              </w:rPr>
            </w:pPr>
          </w:p>
        </w:tc>
        <w:tc>
          <w:tcPr>
            <w:tcW w:w="2806" w:type="dxa"/>
          </w:tcPr>
          <w:p>
            <w:pPr>
              <w:ind w:left="360" w:right="360"/>
              <w:jc w:val="both"/>
              <w:rPr>
                <w:rFonts w:cs="Times New Roman"/>
                <w:sz w:val="22"/>
                <w:szCs w:val="22"/>
              </w:rPr>
            </w:pPr>
          </w:p>
        </w:tc>
      </w:tr>
    </w:tbl>
    <w:p>
      <w:pPr>
        <w:tabs>
          <w:tab w:val="left" w:pos="5040"/>
          <w:tab w:val="left" w:pos="5760"/>
        </w:tabs>
        <w:ind w:right="-334"/>
        <w:rPr>
          <w:sz w:val="22"/>
          <w:szCs w:val="22"/>
        </w:rPr>
      </w:pPr>
    </w:p>
    <w:p>
      <w:pPr>
        <w:widowControl/>
        <w:autoSpaceDE/>
        <w:autoSpaceDN/>
        <w:adjustRightInd/>
        <w:rPr>
          <w:sz w:val="22"/>
          <w:szCs w:val="22"/>
          <w:lang w:bidi="ar-SA"/>
        </w:rPr>
      </w:pPr>
    </w:p>
    <w:sectPr>
      <w:headerReference w:type="default" r:id="rId8"/>
      <w:footerReference w:type="even" r:id="rId9"/>
      <w:footerReference w:type="default" r:id="rId10"/>
      <w:footerReference w:type="first" r:id="rId11"/>
      <w:pgSz w:w="11905" w:h="16837"/>
      <w:pgMar w:top="720" w:right="720" w:bottom="720" w:left="720"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el">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1544" w:h="308" w:hRule="exact" w:wrap="around" w:vAnchor="text" w:hAnchor="page" w:x="5010" w:y="272"/>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p>
    <w:pPr>
      <w:pStyle w:val="Footer"/>
      <w:ind w:right="360"/>
      <w:rPr>
        <w:color w:val="000000"/>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yle1"/>
      <w:widowControl/>
      <w:ind w:left="-600"/>
      <w:jc w:val="right"/>
      <w:rPr>
        <w:rStyle w:val="FontStyle12"/>
        <w:rFonts w:ascii="Times New Roman" w:hAnsi="Times New Roman" w:cs="Times New Roman"/>
        <w:b w:val="0"/>
        <w:bCs w:val="0"/>
        <w:sz w:val="16"/>
        <w:szCs w:val="16"/>
      </w:rPr>
    </w:pPr>
    <w:r>
      <w:rPr>
        <w:rStyle w:val="FontStyle12"/>
        <w:rFonts w:ascii="Times New Roman" w:hAnsi="Times New Roman" w:cs="Times New Roman"/>
        <w:b w:val="0"/>
        <w:bCs w:val="0"/>
        <w:sz w:val="16"/>
        <w:szCs w:val="16"/>
      </w:rPr>
      <w:t>14491/6000/4332471/5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right="708" w:hanging="708"/>
      </w:pPr>
    </w:lvl>
    <w:lvl w:ilvl="1">
      <w:start w:val="1"/>
      <w:numFmt w:val="decimal"/>
      <w:pStyle w:val="Heading2"/>
      <w:lvlText w:val="%1.%2."/>
      <w:legacy w:legacy="1" w:legacySpace="0" w:legacyIndent="708"/>
      <w:lvlJc w:val="left"/>
      <w:pPr>
        <w:ind w:left="1416" w:right="1416" w:hanging="708"/>
      </w:pPr>
    </w:lvl>
    <w:lvl w:ilvl="2">
      <w:start w:val="1"/>
      <w:numFmt w:val="decimal"/>
      <w:pStyle w:val="Heading3"/>
      <w:lvlText w:val="%1.%2.%3."/>
      <w:legacy w:legacy="1" w:legacySpace="0" w:legacyIndent="708"/>
      <w:lvlJc w:val="left"/>
      <w:pPr>
        <w:ind w:left="2836" w:right="2836" w:hanging="708"/>
      </w:pPr>
    </w:lvl>
    <w:lvl w:ilvl="3">
      <w:start w:val="1"/>
      <w:numFmt w:val="decimal"/>
      <w:pStyle w:val="Heading4"/>
      <w:lvlText w:val="%1.%2.%3.%4."/>
      <w:legacy w:legacy="1" w:legacySpace="0" w:legacyIndent="708"/>
      <w:lvlJc w:val="left"/>
      <w:pPr>
        <w:ind w:left="4253" w:right="4253" w:hanging="708"/>
      </w:pPr>
    </w:lvl>
    <w:lvl w:ilvl="4">
      <w:start w:val="1"/>
      <w:numFmt w:val="decimal"/>
      <w:pStyle w:val="Heading5"/>
      <w:lvlText w:val="%1.%2.%3.%4.%5."/>
      <w:legacy w:legacy="1" w:legacySpace="0" w:legacyIndent="708"/>
      <w:lvlJc w:val="left"/>
      <w:pPr>
        <w:ind w:left="3540" w:right="3540" w:hanging="708"/>
      </w:pPr>
    </w:lvl>
    <w:lvl w:ilvl="5">
      <w:start w:val="1"/>
      <w:numFmt w:val="decimal"/>
      <w:pStyle w:val="Heading6"/>
      <w:lvlText w:val="%1.%2.%3.%4.%5.%6."/>
      <w:legacy w:legacy="1" w:legacySpace="0" w:legacyIndent="708"/>
      <w:lvlJc w:val="left"/>
      <w:pPr>
        <w:ind w:left="4248" w:right="4248" w:hanging="708"/>
      </w:pPr>
    </w:lvl>
    <w:lvl w:ilvl="6">
      <w:start w:val="1"/>
      <w:numFmt w:val="decimal"/>
      <w:pStyle w:val="Heading7"/>
      <w:lvlText w:val="%1.%2.%3.%4.%5.%6.%7."/>
      <w:legacy w:legacy="1" w:legacySpace="0" w:legacyIndent="708"/>
      <w:lvlJc w:val="left"/>
      <w:pPr>
        <w:ind w:left="4956" w:right="4956" w:hanging="708"/>
      </w:pPr>
    </w:lvl>
    <w:lvl w:ilvl="7">
      <w:start w:val="1"/>
      <w:numFmt w:val="decimal"/>
      <w:pStyle w:val="Heading8"/>
      <w:lvlText w:val="%1.%2.%3.%4.%5.%6.%7.%8."/>
      <w:legacy w:legacy="1" w:legacySpace="0" w:legacyIndent="708"/>
      <w:lvlJc w:val="left"/>
      <w:pPr>
        <w:ind w:left="5664" w:right="5664" w:hanging="708"/>
      </w:pPr>
    </w:lvl>
    <w:lvl w:ilvl="8">
      <w:start w:val="1"/>
      <w:numFmt w:val="decimal"/>
      <w:pStyle w:val="Heading9"/>
      <w:lvlText w:val="%1.%2.%3.%4.%5.%6.%7.%8.%9."/>
      <w:legacy w:legacy="1" w:legacySpace="0" w:legacyIndent="708"/>
      <w:lvlJc w:val="left"/>
      <w:pPr>
        <w:ind w:left="6372" w:right="6372" w:hanging="708"/>
      </w:pPr>
    </w:lvl>
  </w:abstractNum>
  <w:abstractNum w:abstractNumId="1" w15:restartNumberingAfterBreak="0">
    <w:nsid w:val="040A2735"/>
    <w:multiLevelType w:val="multilevel"/>
    <w:tmpl w:val="7AEE64DE"/>
    <w:name w:val="אסמכתא"/>
    <w:lvl w:ilvl="0">
      <w:start w:val="1"/>
      <w:numFmt w:val="decimal"/>
      <w:pStyle w:val="a"/>
      <w:lvlText w:val="&quot;%1&quot;"/>
      <w:lvlJc w:val="center"/>
      <w:pPr>
        <w:tabs>
          <w:tab w:val="num" w:pos="648"/>
        </w:tabs>
        <w:ind w:left="360" w:hanging="72"/>
      </w:pPr>
      <w:rPr>
        <w:rFonts w:cs="David" w:hint="default"/>
        <w:bCs/>
        <w:iCs w:val="0"/>
        <w:caps w:val="0"/>
        <w:strike w:val="0"/>
        <w:dstrike w:val="0"/>
        <w:vanish w:val="0"/>
        <w:color w:val="000000"/>
        <w:szCs w:val="24"/>
        <w:vertAlign w:val="base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2" w15:restartNumberingAfterBreak="0">
    <w:nsid w:val="1EF90081"/>
    <w:multiLevelType w:val="multilevel"/>
    <w:tmpl w:val="D4428446"/>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E249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FED"/>
    <w:multiLevelType w:val="multilevel"/>
    <w:tmpl w:val="7E089C54"/>
    <w:name w:val="Legal2"/>
    <w:lvl w:ilvl="0">
      <w:start w:val="1"/>
      <w:numFmt w:val="decimal"/>
      <w:pStyle w:val="Legal2L1"/>
      <w:lvlText w:val="%1."/>
      <w:lvlJc w:val="left"/>
      <w:pPr>
        <w:tabs>
          <w:tab w:val="num" w:pos="720"/>
        </w:tabs>
        <w:ind w:left="720" w:hanging="720"/>
      </w:pPr>
      <w:rPr>
        <w:rFonts w:ascii="Times New Roman Bold" w:hAnsi="Times New Roman Bold" w:hint="default"/>
        <w:b/>
        <w:i w:val="0"/>
        <w:caps/>
        <w:strike w:val="0"/>
        <w:dstrike w:val="0"/>
        <w:vanish w:val="0"/>
        <w:color w:val="000000"/>
        <w:sz w:val="20"/>
        <w:u w:val="none"/>
        <w:effect w:val="none"/>
        <w:vertAlign w:val="baseline"/>
      </w:rPr>
    </w:lvl>
    <w:lvl w:ilvl="1">
      <w:start w:val="1"/>
      <w:numFmt w:val="decimal"/>
      <w:pStyle w:val="Legal2L2"/>
      <w:lvlText w:val="%1.%2"/>
      <w:lvlJc w:val="left"/>
      <w:pPr>
        <w:tabs>
          <w:tab w:val="num" w:pos="1212"/>
        </w:tabs>
        <w:ind w:left="132" w:firstLine="720"/>
      </w:pPr>
      <w:rPr>
        <w:rFonts w:ascii="Times New Roman Bold" w:hAnsi="Times New Roman Bold" w:hint="default"/>
        <w:b w:val="0"/>
        <w:bCs/>
        <w:i w:val="0"/>
        <w:caps w:val="0"/>
        <w:strike w:val="0"/>
        <w:dstrike w:val="0"/>
        <w:vanish w:val="0"/>
        <w:color w:val="000000"/>
        <w:sz w:val="20"/>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abstractNum>
  <w:abstractNum w:abstractNumId="5" w15:restartNumberingAfterBreak="0">
    <w:nsid w:val="2EB33694"/>
    <w:multiLevelType w:val="hybridMultilevel"/>
    <w:tmpl w:val="B7547EC2"/>
    <w:lvl w:ilvl="0" w:tplc="D382B70C">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15:restartNumberingAfterBreak="0">
    <w:nsid w:val="389A3CA4"/>
    <w:multiLevelType w:val="hybridMultilevel"/>
    <w:tmpl w:val="E5A0D4B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4E0339"/>
    <w:multiLevelType w:val="multilevel"/>
    <w:tmpl w:val="340CF998"/>
    <w:lvl w:ilvl="0">
      <w:start w:val="1"/>
      <w:numFmt w:val="upperRoman"/>
      <w:lvlText w:val="%1."/>
      <w:lvlJc w:val="left"/>
      <w:pPr>
        <w:tabs>
          <w:tab w:val="num" w:pos="720"/>
        </w:tabs>
        <w:ind w:left="0" w:firstLine="0"/>
      </w:pPr>
    </w:lvl>
    <w:lvl w:ilvl="1">
      <w:start w:val="1"/>
      <w:numFmt w:val="upperLetter"/>
      <w:lvlText w:val="%2."/>
      <w:lvlJc w:val="left"/>
      <w:pPr>
        <w:tabs>
          <w:tab w:val="num" w:pos="1440"/>
        </w:tabs>
        <w:ind w:left="720" w:firstLine="0"/>
      </w:pPr>
      <w:rPr>
        <w:b/>
      </w:rPr>
    </w:lvl>
    <w:lvl w:ilvl="2">
      <w:start w:val="1"/>
      <w:numFmt w:val="decimal"/>
      <w:lvlText w:val="%3."/>
      <w:lvlJc w:val="left"/>
      <w:pPr>
        <w:tabs>
          <w:tab w:val="num" w:pos="2160"/>
        </w:tabs>
        <w:ind w:left="1440" w:firstLine="0"/>
      </w:pPr>
    </w:lvl>
    <w:lvl w:ilvl="3">
      <w:start w:val="1"/>
      <w:numFmt w:val="lowerLetter"/>
      <w:lvlText w:val="%4."/>
      <w:lvlJc w:val="left"/>
      <w:pPr>
        <w:tabs>
          <w:tab w:val="num" w:pos="2880"/>
        </w:tabs>
        <w:ind w:left="2160" w:firstLine="0"/>
      </w:pPr>
      <w:rPr>
        <w:caps w:val="0"/>
        <w:smallCaps w:val="0"/>
      </w:rPr>
    </w:lvl>
    <w:lvl w:ilvl="4">
      <w:start w:val="1"/>
      <w:numFmt w:val="decimal"/>
      <w:lvlText w:val="(%5)"/>
      <w:lvlJc w:val="left"/>
      <w:pPr>
        <w:tabs>
          <w:tab w:val="num" w:pos="3600"/>
        </w:tabs>
        <w:ind w:left="2880" w:firstLine="0"/>
      </w:pPr>
    </w:lvl>
    <w:lvl w:ilvl="5">
      <w:start w:val="1"/>
      <w:numFmt w:val="lowerLetter"/>
      <w:lvlText w:val="(%6)"/>
      <w:lvlJc w:val="left"/>
      <w:pPr>
        <w:tabs>
          <w:tab w:val="num" w:pos="4320"/>
        </w:tabs>
        <w:ind w:left="3600" w:firstLine="0"/>
      </w:pPr>
      <w:rPr>
        <w:caps w:val="0"/>
        <w:smallCaps w:val="0"/>
      </w:rPr>
    </w:lvl>
    <w:lvl w:ilvl="6">
      <w:start w:val="1"/>
      <w:numFmt w:val="lowerRoman"/>
      <w:lvlText w:val="(%7)"/>
      <w:lvlJc w:val="left"/>
      <w:pPr>
        <w:tabs>
          <w:tab w:val="num" w:pos="5040"/>
        </w:tabs>
        <w:ind w:left="4320" w:firstLine="0"/>
      </w:pPr>
      <w:rPr>
        <w:caps w:val="0"/>
        <w:smallCaps w:val="0"/>
      </w:rPr>
    </w:lvl>
    <w:lvl w:ilvl="7">
      <w:start w:val="1"/>
      <w:numFmt w:val="lowerLetter"/>
      <w:lvlText w:val="%8)"/>
      <w:lvlJc w:val="left"/>
      <w:pPr>
        <w:tabs>
          <w:tab w:val="num" w:pos="5760"/>
        </w:tabs>
        <w:ind w:left="5040" w:firstLine="0"/>
      </w:pPr>
      <w:rPr>
        <w:caps w:val="0"/>
        <w:smallCaps w:val="0"/>
      </w:rPr>
    </w:lvl>
    <w:lvl w:ilvl="8">
      <w:start w:val="1"/>
      <w:numFmt w:val="lowerRoman"/>
      <w:lvlText w:val="%9)"/>
      <w:lvlJc w:val="left"/>
      <w:pPr>
        <w:tabs>
          <w:tab w:val="num" w:pos="6480"/>
        </w:tabs>
        <w:ind w:left="5760" w:firstLine="0"/>
      </w:pPr>
      <w:rPr>
        <w:caps w:val="0"/>
        <w:smallCaps w:val="0"/>
      </w:rPr>
    </w:lvl>
  </w:abstractNum>
  <w:abstractNum w:abstractNumId="8" w15:restartNumberingAfterBreak="0">
    <w:nsid w:val="4C9D69F6"/>
    <w:multiLevelType w:val="hybridMultilevel"/>
    <w:tmpl w:val="B9B294C8"/>
    <w:lvl w:ilvl="0" w:tplc="3CAE4142">
      <w:start w:val="1"/>
      <w:numFmt w:val="lowerLetter"/>
      <w:lvlText w:val="%1."/>
      <w:lvlJc w:val="left"/>
      <w:pPr>
        <w:ind w:left="822" w:hanging="349"/>
      </w:pPr>
      <w:rPr>
        <w:rFonts w:ascii="Arial" w:eastAsia="Arial" w:hAnsi="Arial" w:cs="Arial" w:hint="default"/>
        <w:spacing w:val="-1"/>
        <w:w w:val="83"/>
        <w:sz w:val="22"/>
        <w:szCs w:val="22"/>
      </w:rPr>
    </w:lvl>
    <w:lvl w:ilvl="1" w:tplc="FAB45740">
      <w:numFmt w:val="bullet"/>
      <w:lvlText w:val="•"/>
      <w:lvlJc w:val="left"/>
      <w:pPr>
        <w:ind w:left="1626" w:hanging="349"/>
      </w:pPr>
      <w:rPr>
        <w:rFonts w:hint="default"/>
      </w:rPr>
    </w:lvl>
    <w:lvl w:ilvl="2" w:tplc="A90839FC">
      <w:numFmt w:val="bullet"/>
      <w:lvlText w:val="•"/>
      <w:lvlJc w:val="left"/>
      <w:pPr>
        <w:ind w:left="2432" w:hanging="349"/>
      </w:pPr>
      <w:rPr>
        <w:rFonts w:hint="default"/>
      </w:rPr>
    </w:lvl>
    <w:lvl w:ilvl="3" w:tplc="E1F03EE4">
      <w:numFmt w:val="bullet"/>
      <w:lvlText w:val="•"/>
      <w:lvlJc w:val="left"/>
      <w:pPr>
        <w:ind w:left="3238" w:hanging="349"/>
      </w:pPr>
      <w:rPr>
        <w:rFonts w:hint="default"/>
      </w:rPr>
    </w:lvl>
    <w:lvl w:ilvl="4" w:tplc="FDF8C904">
      <w:numFmt w:val="bullet"/>
      <w:lvlText w:val="•"/>
      <w:lvlJc w:val="left"/>
      <w:pPr>
        <w:ind w:left="4044" w:hanging="349"/>
      </w:pPr>
      <w:rPr>
        <w:rFonts w:hint="default"/>
      </w:rPr>
    </w:lvl>
    <w:lvl w:ilvl="5" w:tplc="368AAA7E">
      <w:numFmt w:val="bullet"/>
      <w:lvlText w:val="•"/>
      <w:lvlJc w:val="left"/>
      <w:pPr>
        <w:ind w:left="4850" w:hanging="349"/>
      </w:pPr>
      <w:rPr>
        <w:rFonts w:hint="default"/>
      </w:rPr>
    </w:lvl>
    <w:lvl w:ilvl="6" w:tplc="3B9A04A8">
      <w:numFmt w:val="bullet"/>
      <w:lvlText w:val="•"/>
      <w:lvlJc w:val="left"/>
      <w:pPr>
        <w:ind w:left="5656" w:hanging="349"/>
      </w:pPr>
      <w:rPr>
        <w:rFonts w:hint="default"/>
      </w:rPr>
    </w:lvl>
    <w:lvl w:ilvl="7" w:tplc="E570A194">
      <w:numFmt w:val="bullet"/>
      <w:lvlText w:val="•"/>
      <w:lvlJc w:val="left"/>
      <w:pPr>
        <w:ind w:left="6462" w:hanging="349"/>
      </w:pPr>
      <w:rPr>
        <w:rFonts w:hint="default"/>
      </w:rPr>
    </w:lvl>
    <w:lvl w:ilvl="8" w:tplc="41327AA2">
      <w:numFmt w:val="bullet"/>
      <w:lvlText w:val="•"/>
      <w:lvlJc w:val="left"/>
      <w:pPr>
        <w:ind w:left="7268" w:hanging="349"/>
      </w:pPr>
      <w:rPr>
        <w:rFonts w:hint="default"/>
      </w:rPr>
    </w:lvl>
  </w:abstractNum>
  <w:abstractNum w:abstractNumId="9" w15:restartNumberingAfterBreak="0">
    <w:nsid w:val="551310DC"/>
    <w:multiLevelType w:val="multilevel"/>
    <w:tmpl w:val="4162C1A0"/>
    <w:lvl w:ilvl="0">
      <w:start w:val="1"/>
      <w:numFmt w:val="decimal"/>
      <w:pStyle w:val="1"/>
      <w:lvlText w:val="%1."/>
      <w:lvlJc w:val="right"/>
      <w:pPr>
        <w:tabs>
          <w:tab w:val="num" w:pos="709"/>
        </w:tabs>
        <w:ind w:left="709" w:hanging="425"/>
      </w:pPr>
      <w:rPr>
        <w:rFonts w:hint="default"/>
      </w:rPr>
    </w:lvl>
    <w:lvl w:ilvl="1">
      <w:start w:val="1"/>
      <w:numFmt w:val="hebrew1"/>
      <w:pStyle w:val="2"/>
      <w:lvlText w:val="%2."/>
      <w:lvlJc w:val="left"/>
      <w:pPr>
        <w:tabs>
          <w:tab w:val="num" w:pos="1418"/>
        </w:tabs>
        <w:ind w:left="1418" w:hanging="709"/>
      </w:pPr>
      <w:rPr>
        <w:rFonts w:cs="David" w:hint="cs"/>
        <w:bCs w:val="0"/>
        <w:iCs w:val="0"/>
        <w:caps w:val="0"/>
        <w:strike w:val="0"/>
        <w:dstrike w:val="0"/>
        <w:vanish w:val="0"/>
        <w:color w:val="000000"/>
        <w:kern w:val="0"/>
        <w:szCs w:val="24"/>
        <w:u w:val="none"/>
        <w:vertAlign w:val="baseline"/>
      </w:rPr>
    </w:lvl>
    <w:lvl w:ilvl="2">
      <w:start w:val="1"/>
      <w:numFmt w:val="decimal"/>
      <w:pStyle w:val="3"/>
      <w:lvlText w:val="%3)"/>
      <w:lvlJc w:val="left"/>
      <w:pPr>
        <w:tabs>
          <w:tab w:val="num" w:pos="2126"/>
        </w:tabs>
        <w:ind w:left="2126" w:hanging="708"/>
      </w:pPr>
      <w:rPr>
        <w:rFonts w:hint="default"/>
      </w:rPr>
    </w:lvl>
    <w:lvl w:ilvl="3">
      <w:start w:val="1"/>
      <w:numFmt w:val="hebrew1"/>
      <w:pStyle w:val="4"/>
      <w:lvlText w:val="%4)"/>
      <w:lvlJc w:val="left"/>
      <w:pPr>
        <w:tabs>
          <w:tab w:val="num" w:pos="2835"/>
        </w:tabs>
        <w:ind w:left="2835" w:hanging="709"/>
      </w:pPr>
      <w:rPr>
        <w:rFonts w:cs="David" w:hint="cs"/>
        <w:bCs w:val="0"/>
        <w:iCs w:val="0"/>
        <w:caps w:val="0"/>
        <w:strike w:val="0"/>
        <w:dstrike w:val="0"/>
        <w:vanish w:val="0"/>
        <w:color w:val="000000"/>
        <w:kern w:val="0"/>
        <w:szCs w:val="24"/>
        <w:u w:val="none"/>
        <w:vertAlign w:val="base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abstractNum w:abstractNumId="10" w15:restartNumberingAfterBreak="0">
    <w:nsid w:val="574B3302"/>
    <w:multiLevelType w:val="hybridMultilevel"/>
    <w:tmpl w:val="25FCA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6181A"/>
    <w:multiLevelType w:val="hybridMultilevel"/>
    <w:tmpl w:val="E8AA5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A01EF"/>
    <w:multiLevelType w:val="multilevel"/>
    <w:tmpl w:val="E7288DC0"/>
    <w:lvl w:ilvl="0">
      <w:start w:val="2"/>
      <w:numFmt w:val="decimal"/>
      <w:lvlText w:val="%1"/>
      <w:lvlJc w:val="left"/>
      <w:pPr>
        <w:ind w:left="360" w:hanging="360"/>
      </w:pPr>
      <w:rPr>
        <w:rFonts w:hint="default"/>
        <w:u w:val="singl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2960" w:hanging="1440"/>
      </w:pPr>
      <w:rPr>
        <w:rFonts w:hint="default"/>
        <w:u w:val="single"/>
      </w:rPr>
    </w:lvl>
  </w:abstractNum>
  <w:abstractNum w:abstractNumId="13" w15:restartNumberingAfterBreak="0">
    <w:nsid w:val="73B41063"/>
    <w:multiLevelType w:val="singleLevel"/>
    <w:tmpl w:val="1554B06A"/>
    <w:lvl w:ilvl="0">
      <w:start w:val="1"/>
      <w:numFmt w:val="decimal"/>
      <w:lvlText w:val="%1."/>
      <w:legacy w:legacy="1" w:legacySpace="0" w:legacyIndent="279"/>
      <w:lvlJc w:val="left"/>
      <w:rPr>
        <w:rFonts w:ascii="Times New Roman" w:hAnsi="Times New Roman" w:cs="Times New Roman" w:hint="default"/>
      </w:rPr>
    </w:lvl>
  </w:abstractNum>
  <w:abstractNum w:abstractNumId="14" w15:restartNumberingAfterBreak="0">
    <w:nsid w:val="758D68EF"/>
    <w:multiLevelType w:val="multilevel"/>
    <w:tmpl w:val="1A9C36F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D91B80"/>
    <w:multiLevelType w:val="hybridMultilevel"/>
    <w:tmpl w:val="D646B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D31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CB5BC4"/>
    <w:multiLevelType w:val="hybridMultilevel"/>
    <w:tmpl w:val="850A3F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EC4754"/>
    <w:multiLevelType w:val="hybridMultilevel"/>
    <w:tmpl w:val="CF962F8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6"/>
  </w:num>
  <w:num w:numId="5">
    <w:abstractNumId w:val="9"/>
  </w:num>
  <w:num w:numId="6">
    <w:abstractNumId w:val="1"/>
  </w:num>
  <w:num w:numId="7">
    <w:abstractNumId w:val="0"/>
  </w:num>
  <w:num w:numId="8">
    <w:abstractNumId w:val="0"/>
  </w:num>
  <w:num w:numId="9">
    <w:abstractNumId w:val="4"/>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7"/>
  </w:num>
  <w:num w:numId="23">
    <w:abstractNumId w:val="17"/>
  </w:num>
  <w:num w:numId="24">
    <w:abstractNumId w:val="12"/>
  </w:num>
  <w:num w:numId="25">
    <w:abstractNumId w:val="0"/>
  </w:num>
  <w:num w:numId="26">
    <w:abstractNumId w:val="0"/>
  </w:num>
  <w:num w:numId="27">
    <w:abstractNumId w:val="0"/>
  </w:num>
  <w:num w:numId="28">
    <w:abstractNumId w:val="0"/>
  </w:num>
  <w:num w:numId="29">
    <w:abstractNumId w:val="14"/>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5"/>
  </w:num>
  <w:num w:numId="37">
    <w:abstractNumId w:val="0"/>
  </w:num>
  <w:num w:numId="38">
    <w:abstractNumId w:val="8"/>
  </w:num>
  <w:num w:numId="39">
    <w:abstractNumId w:val="0"/>
  </w:num>
  <w:num w:numId="40">
    <w:abstractNumId w:val="0"/>
  </w:num>
  <w:num w:numId="41">
    <w:abstractNumId w:val="0"/>
  </w:num>
  <w:num w:numId="42">
    <w:abstractNumId w:val="0"/>
  </w:num>
  <w:num w:numId="43">
    <w:abstractNumId w:val="5"/>
  </w:num>
  <w:num w:numId="44">
    <w:abstractNumId w:val="2"/>
  </w:num>
  <w:num w:numId="45">
    <w:abstractNumId w:val="10"/>
  </w:num>
  <w:num w:numId="46">
    <w:abstractNumId w:val="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FirstPageFooterField" w:val="15518/6000/7077545v2"/>
    <w:docVar w:name="dmsPrimaryFooterField" w:val="15518/6000/7077545v2"/>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602CE5-34BF-4853-8B22-8151F348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bidi="he-IL"/>
    </w:rPr>
  </w:style>
  <w:style w:type="paragraph" w:styleId="Heading1">
    <w:name w:val="heading 1"/>
    <w:basedOn w:val="Normal"/>
    <w:uiPriority w:val="1"/>
    <w:qFormat/>
    <w:locked/>
    <w:pPr>
      <w:widowControl/>
      <w:numPr>
        <w:numId w:val="2"/>
      </w:numPr>
      <w:autoSpaceDE/>
      <w:autoSpaceDN/>
      <w:adjustRightInd/>
      <w:spacing w:after="120"/>
      <w:outlineLvl w:val="0"/>
    </w:pPr>
    <w:rPr>
      <w:rFonts w:cs="Ariel"/>
      <w:lang w:eastAsia="he-IL"/>
    </w:rPr>
  </w:style>
  <w:style w:type="paragraph" w:styleId="Heading2">
    <w:name w:val="heading 2"/>
    <w:basedOn w:val="Normal"/>
    <w:qFormat/>
    <w:locked/>
    <w:pPr>
      <w:widowControl/>
      <w:numPr>
        <w:ilvl w:val="1"/>
        <w:numId w:val="2"/>
      </w:numPr>
      <w:autoSpaceDE/>
      <w:autoSpaceDN/>
      <w:adjustRightInd/>
      <w:spacing w:after="120"/>
      <w:outlineLvl w:val="1"/>
    </w:pPr>
    <w:rPr>
      <w:rFonts w:cs="Ariel"/>
      <w:sz w:val="22"/>
      <w:szCs w:val="22"/>
      <w:lang w:eastAsia="he-IL"/>
    </w:rPr>
  </w:style>
  <w:style w:type="paragraph" w:styleId="Heading3">
    <w:name w:val="heading 3"/>
    <w:basedOn w:val="Normal"/>
    <w:qFormat/>
    <w:locked/>
    <w:pPr>
      <w:widowControl/>
      <w:numPr>
        <w:ilvl w:val="2"/>
        <w:numId w:val="2"/>
      </w:numPr>
      <w:autoSpaceDE/>
      <w:autoSpaceDN/>
      <w:adjustRightInd/>
      <w:spacing w:after="120"/>
      <w:ind w:hanging="1418"/>
      <w:outlineLvl w:val="2"/>
    </w:pPr>
    <w:rPr>
      <w:rFonts w:cs="Ariel"/>
      <w:lang w:eastAsia="he-IL"/>
    </w:rPr>
  </w:style>
  <w:style w:type="paragraph" w:styleId="Heading4">
    <w:name w:val="heading 4"/>
    <w:basedOn w:val="Normal"/>
    <w:qFormat/>
    <w:locked/>
    <w:pPr>
      <w:widowControl/>
      <w:numPr>
        <w:ilvl w:val="3"/>
        <w:numId w:val="2"/>
      </w:numPr>
      <w:autoSpaceDE/>
      <w:autoSpaceDN/>
      <w:adjustRightInd/>
      <w:spacing w:after="120"/>
      <w:ind w:hanging="1418"/>
      <w:outlineLvl w:val="3"/>
    </w:pPr>
    <w:rPr>
      <w:rFonts w:cs="Ariel"/>
      <w:lang w:eastAsia="he-IL"/>
    </w:rPr>
  </w:style>
  <w:style w:type="paragraph" w:styleId="Heading5">
    <w:name w:val="heading 5"/>
    <w:basedOn w:val="Normal"/>
    <w:qFormat/>
    <w:locked/>
    <w:pPr>
      <w:widowControl/>
      <w:numPr>
        <w:ilvl w:val="4"/>
        <w:numId w:val="2"/>
      </w:numPr>
      <w:autoSpaceDE/>
      <w:autoSpaceDN/>
      <w:adjustRightInd/>
      <w:spacing w:after="120"/>
      <w:outlineLvl w:val="4"/>
    </w:pPr>
    <w:rPr>
      <w:rFonts w:cs="Ariel"/>
      <w:lang w:eastAsia="he-IL"/>
    </w:rPr>
  </w:style>
  <w:style w:type="paragraph" w:styleId="Heading6">
    <w:name w:val="heading 6"/>
    <w:basedOn w:val="Normal"/>
    <w:qFormat/>
    <w:locked/>
    <w:pPr>
      <w:widowControl/>
      <w:numPr>
        <w:ilvl w:val="5"/>
        <w:numId w:val="2"/>
      </w:numPr>
      <w:autoSpaceDE/>
      <w:autoSpaceDN/>
      <w:adjustRightInd/>
      <w:spacing w:after="120"/>
      <w:outlineLvl w:val="5"/>
    </w:pPr>
    <w:rPr>
      <w:rFonts w:cs="Ariel"/>
      <w:lang w:eastAsia="he-IL"/>
    </w:rPr>
  </w:style>
  <w:style w:type="paragraph" w:styleId="Heading7">
    <w:name w:val="heading 7"/>
    <w:basedOn w:val="Normal"/>
    <w:qFormat/>
    <w:locked/>
    <w:pPr>
      <w:widowControl/>
      <w:numPr>
        <w:ilvl w:val="6"/>
        <w:numId w:val="2"/>
      </w:numPr>
      <w:autoSpaceDE/>
      <w:autoSpaceDN/>
      <w:adjustRightInd/>
      <w:spacing w:after="120"/>
      <w:outlineLvl w:val="6"/>
    </w:pPr>
    <w:rPr>
      <w:rFonts w:cs="Ariel"/>
      <w:lang w:eastAsia="he-IL"/>
    </w:rPr>
  </w:style>
  <w:style w:type="paragraph" w:styleId="Heading8">
    <w:name w:val="heading 8"/>
    <w:basedOn w:val="Normal"/>
    <w:qFormat/>
    <w:locked/>
    <w:pPr>
      <w:widowControl/>
      <w:numPr>
        <w:ilvl w:val="7"/>
        <w:numId w:val="2"/>
      </w:numPr>
      <w:autoSpaceDE/>
      <w:autoSpaceDN/>
      <w:adjustRightInd/>
      <w:spacing w:after="120"/>
      <w:outlineLvl w:val="7"/>
    </w:pPr>
    <w:rPr>
      <w:rFonts w:cs="Ariel"/>
      <w:lang w:eastAsia="he-IL"/>
    </w:rPr>
  </w:style>
  <w:style w:type="paragraph" w:styleId="Heading9">
    <w:name w:val="heading 9"/>
    <w:basedOn w:val="Normal"/>
    <w:qFormat/>
    <w:locked/>
    <w:pPr>
      <w:widowControl/>
      <w:numPr>
        <w:ilvl w:val="8"/>
        <w:numId w:val="2"/>
      </w:numPr>
      <w:autoSpaceDE/>
      <w:autoSpaceDN/>
      <w:adjustRightInd/>
      <w:spacing w:after="120"/>
      <w:outlineLvl w:val="8"/>
    </w:pPr>
    <w:rPr>
      <w:rFonts w:cs="Ariel"/>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tyle2">
    <w:name w:val="Style2"/>
    <w:basedOn w:val="Normal"/>
    <w:pPr>
      <w:spacing w:line="257" w:lineRule="exact"/>
      <w:ind w:firstLine="686"/>
    </w:pPr>
  </w:style>
  <w:style w:type="paragraph" w:customStyle="1" w:styleId="Style3">
    <w:name w:val="Style3"/>
    <w:basedOn w:val="Normal"/>
    <w:pPr>
      <w:spacing w:line="258" w:lineRule="exact"/>
      <w:ind w:firstLine="672"/>
    </w:pPr>
  </w:style>
  <w:style w:type="paragraph" w:customStyle="1" w:styleId="Style4">
    <w:name w:val="Style4"/>
    <w:basedOn w:val="Normal"/>
  </w:style>
  <w:style w:type="character" w:customStyle="1" w:styleId="FontStyle11">
    <w:name w:val="Font Style11"/>
    <w:rPr>
      <w:rFonts w:ascii="Times New Roman" w:hAnsi="Times New Roman" w:cs="Times New Roman"/>
      <w:sz w:val="20"/>
      <w:szCs w:val="20"/>
      <w:lang w:bidi="he-IL"/>
    </w:rPr>
  </w:style>
  <w:style w:type="character" w:customStyle="1" w:styleId="FontStyle12">
    <w:name w:val="Font Style12"/>
    <w:rPr>
      <w:rFonts w:ascii="Microsoft Sans Serif" w:hAnsi="Microsoft Sans Serif" w:cs="Microsoft Sans Serif"/>
      <w:b/>
      <w:bCs/>
      <w:sz w:val="14"/>
      <w:szCs w:val="14"/>
      <w:lang w:bidi="he-IL"/>
    </w:rPr>
  </w:style>
  <w:style w:type="character" w:styleId="Hyperlink">
    <w:name w:val="Hyperlink"/>
    <w:rPr>
      <w:rFonts w:cs="Times New Roman"/>
      <w:color w:val="0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indent1">
    <w:name w:val="indent1"/>
    <w:basedOn w:val="Normal"/>
    <w:pPr>
      <w:keepNext/>
      <w:widowControl/>
      <w:autoSpaceDE/>
      <w:autoSpaceDN/>
      <w:adjustRightInd/>
      <w:spacing w:before="240"/>
      <w:ind w:left="709" w:hanging="709"/>
      <w:jc w:val="both"/>
    </w:pPr>
    <w:rPr>
      <w:lang w:eastAsia="he-IL"/>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cs="Tahoma"/>
      <w:sz w:val="16"/>
      <w:szCs w:val="16"/>
      <w:lang w:val="en-US" w:eastAsia="en-US"/>
    </w:rPr>
  </w:style>
  <w:style w:type="paragraph" w:customStyle="1" w:styleId="Bod">
    <w:name w:val="Bod"/>
    <w:basedOn w:val="Normal"/>
    <w:pPr>
      <w:widowControl/>
      <w:suppressAutoHyphens/>
      <w:adjustRightInd/>
      <w:spacing w:after="240"/>
      <w:ind w:firstLine="1440"/>
      <w:jc w:val="both"/>
    </w:pPr>
    <w:rPr>
      <w:rFonts w:cs="Ariel"/>
    </w:rPr>
  </w:style>
  <w:style w:type="paragraph" w:styleId="Title">
    <w:name w:val="Title"/>
    <w:basedOn w:val="Normal"/>
    <w:qFormat/>
    <w:locked/>
    <w:pPr>
      <w:widowControl/>
      <w:suppressAutoHyphens/>
      <w:adjustRightInd/>
      <w:spacing w:after="600"/>
      <w:jc w:val="center"/>
    </w:pPr>
    <w:rPr>
      <w:rFonts w:cs="Ariel"/>
      <w:b/>
      <w:bCs/>
    </w:rPr>
  </w:style>
  <w:style w:type="paragraph" w:styleId="BodyText3">
    <w:name w:val="Body Text 3"/>
    <w:basedOn w:val="Normal"/>
    <w:pPr>
      <w:widowControl/>
      <w:autoSpaceDE/>
      <w:autoSpaceDN/>
      <w:adjustRightInd/>
      <w:spacing w:after="120"/>
    </w:pPr>
    <w:rPr>
      <w:sz w:val="16"/>
      <w:szCs w:val="16"/>
      <w:lang w:bidi="ar-SA"/>
    </w:rPr>
  </w:style>
  <w:style w:type="paragraph" w:customStyle="1" w:styleId="text">
    <w:name w:val="text"/>
    <w:basedOn w:val="Normal"/>
    <w:pPr>
      <w:widowControl/>
      <w:adjustRightInd/>
    </w:pPr>
    <w:rPr>
      <w:rFonts w:cs="Ariel"/>
    </w:rPr>
  </w:style>
  <w:style w:type="character" w:styleId="PageNumber">
    <w:name w:val="page number"/>
    <w:basedOn w:val="DefaultParagraphFont"/>
  </w:style>
  <w:style w:type="paragraph" w:customStyle="1" w:styleId="1">
    <w:name w:val="היסט1"/>
    <w:basedOn w:val="Normal"/>
    <w:next w:val="Normal"/>
    <w:pPr>
      <w:keepLines/>
      <w:widowControl/>
      <w:numPr>
        <w:numId w:val="5"/>
      </w:numPr>
      <w:autoSpaceDE/>
      <w:autoSpaceDN/>
      <w:adjustRightInd/>
      <w:spacing w:before="120"/>
      <w:jc w:val="both"/>
    </w:pPr>
    <w:rPr>
      <w:rFonts w:cs="David"/>
    </w:rPr>
  </w:style>
  <w:style w:type="paragraph" w:customStyle="1" w:styleId="2">
    <w:name w:val="היסט2"/>
    <w:basedOn w:val="Normal"/>
    <w:next w:val="Normal"/>
    <w:pPr>
      <w:widowControl/>
      <w:numPr>
        <w:ilvl w:val="1"/>
        <w:numId w:val="5"/>
      </w:numPr>
      <w:autoSpaceDE/>
      <w:autoSpaceDN/>
      <w:adjustRightInd/>
      <w:spacing w:before="120"/>
      <w:jc w:val="both"/>
    </w:pPr>
    <w:rPr>
      <w:rFonts w:cs="David"/>
    </w:rPr>
  </w:style>
  <w:style w:type="paragraph" w:customStyle="1" w:styleId="3">
    <w:name w:val="היסט3"/>
    <w:basedOn w:val="Normal"/>
    <w:next w:val="Normal"/>
    <w:pPr>
      <w:widowControl/>
      <w:numPr>
        <w:ilvl w:val="2"/>
        <w:numId w:val="5"/>
      </w:numPr>
      <w:autoSpaceDE/>
      <w:autoSpaceDN/>
      <w:adjustRightInd/>
      <w:spacing w:before="120"/>
      <w:jc w:val="both"/>
    </w:pPr>
    <w:rPr>
      <w:rFonts w:cs="David"/>
    </w:rPr>
  </w:style>
  <w:style w:type="paragraph" w:customStyle="1" w:styleId="4">
    <w:name w:val="היסט4"/>
    <w:basedOn w:val="Normal"/>
    <w:next w:val="Normal"/>
    <w:pPr>
      <w:widowControl/>
      <w:numPr>
        <w:ilvl w:val="3"/>
        <w:numId w:val="5"/>
      </w:numPr>
      <w:autoSpaceDE/>
      <w:autoSpaceDN/>
      <w:adjustRightInd/>
      <w:spacing w:before="120"/>
      <w:jc w:val="both"/>
    </w:pPr>
    <w:rPr>
      <w:rFonts w:cs="David"/>
    </w:rPr>
  </w:style>
  <w:style w:type="paragraph" w:customStyle="1" w:styleId="a">
    <w:name w:val="אסמכתא"/>
    <w:basedOn w:val="Normal"/>
    <w:pPr>
      <w:widowControl/>
      <w:numPr>
        <w:numId w:val="6"/>
      </w:numPr>
      <w:tabs>
        <w:tab w:val="clear" w:pos="648"/>
        <w:tab w:val="num" w:pos="1008"/>
      </w:tabs>
      <w:autoSpaceDE/>
      <w:autoSpaceDN/>
      <w:adjustRightInd/>
      <w:jc w:val="both"/>
    </w:pPr>
    <w:rPr>
      <w:rFonts w:cs="David"/>
    </w:rPr>
  </w:style>
  <w:style w:type="character" w:customStyle="1" w:styleId="st">
    <w:name w:val="st"/>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paragraph" w:customStyle="1" w:styleId="Legal2L1">
    <w:name w:val="Legal2_L1"/>
    <w:basedOn w:val="Normal"/>
    <w:next w:val="Normal"/>
    <w:pPr>
      <w:numPr>
        <w:numId w:val="9"/>
      </w:numPr>
      <w:autoSpaceDE/>
      <w:autoSpaceDN/>
      <w:adjustRightInd/>
      <w:spacing w:after="240"/>
      <w:jc w:val="both"/>
      <w:outlineLvl w:val="0"/>
    </w:pPr>
    <w:rPr>
      <w:sz w:val="20"/>
      <w:szCs w:val="20"/>
      <w:lang w:bidi="ar-SA"/>
    </w:rPr>
  </w:style>
  <w:style w:type="paragraph" w:customStyle="1" w:styleId="Legal2L2">
    <w:name w:val="Legal2_L2"/>
    <w:basedOn w:val="Legal2L1"/>
    <w:next w:val="Normal"/>
    <w:pPr>
      <w:numPr>
        <w:ilvl w:val="1"/>
      </w:numPr>
      <w:outlineLvl w:val="1"/>
    </w:pPr>
  </w:style>
  <w:style w:type="paragraph" w:customStyle="1" w:styleId="Legal2L3">
    <w:name w:val="Legal2_L3"/>
    <w:basedOn w:val="Legal2L2"/>
    <w:next w:val="Normal"/>
    <w:pPr>
      <w:numPr>
        <w:ilvl w:val="2"/>
      </w:numPr>
      <w:outlineLvl w:val="2"/>
    </w:pPr>
  </w:style>
  <w:style w:type="paragraph" w:customStyle="1" w:styleId="Legal2L4">
    <w:name w:val="Legal2_L4"/>
    <w:basedOn w:val="Legal2L3"/>
    <w:next w:val="Normal"/>
    <w:pPr>
      <w:numPr>
        <w:ilvl w:val="3"/>
      </w:numPr>
      <w:outlineLvl w:val="3"/>
    </w:pPr>
  </w:style>
  <w:style w:type="paragraph" w:customStyle="1" w:styleId="Legal2L5">
    <w:name w:val="Legal2_L5"/>
    <w:basedOn w:val="Legal2L4"/>
    <w:next w:val="Normal"/>
    <w:pPr>
      <w:numPr>
        <w:ilvl w:val="4"/>
      </w:numPr>
      <w:outlineLvl w:val="4"/>
    </w:pPr>
  </w:style>
  <w:style w:type="paragraph" w:customStyle="1" w:styleId="Legal2L6">
    <w:name w:val="Legal2_L6"/>
    <w:basedOn w:val="Legal2L5"/>
    <w:next w:val="Normal"/>
    <w:pPr>
      <w:numPr>
        <w:ilvl w:val="5"/>
      </w:numPr>
      <w:outlineLvl w:val="5"/>
    </w:pPr>
  </w:style>
  <w:style w:type="paragraph" w:customStyle="1" w:styleId="Legal2L7">
    <w:name w:val="Legal2_L7"/>
    <w:basedOn w:val="Legal2L6"/>
    <w:next w:val="Normal"/>
    <w:pPr>
      <w:numPr>
        <w:ilvl w:val="6"/>
      </w:numPr>
      <w:outlineLvl w:val="6"/>
    </w:pPr>
  </w:style>
  <w:style w:type="paragraph" w:customStyle="1" w:styleId="Legal2L8">
    <w:name w:val="Legal2_L8"/>
    <w:basedOn w:val="Legal2L7"/>
    <w:next w:val="Normal"/>
    <w:pPr>
      <w:numPr>
        <w:ilvl w:val="7"/>
      </w:numPr>
      <w:outlineLvl w:val="7"/>
    </w:pPr>
  </w:style>
  <w:style w:type="paragraph" w:customStyle="1" w:styleId="Legal2L9">
    <w:name w:val="Legal2_L9"/>
    <w:basedOn w:val="Legal2L8"/>
    <w:next w:val="Normal"/>
    <w:pPr>
      <w:numPr>
        <w:ilvl w:val="8"/>
      </w:numPr>
      <w:outlineLvl w:val="8"/>
    </w:pPr>
  </w:style>
  <w:style w:type="paragraph" w:customStyle="1" w:styleId="10">
    <w:name w:val="1."/>
    <w:basedOn w:val="Normal"/>
    <w:pPr>
      <w:widowControl/>
      <w:overflowPunct w:val="0"/>
      <w:spacing w:after="120" w:line="360" w:lineRule="auto"/>
      <w:ind w:firstLine="567"/>
      <w:jc w:val="both"/>
      <w:textAlignment w:val="baseline"/>
    </w:pPr>
    <w:rPr>
      <w:b/>
      <w:bCs/>
    </w:rPr>
  </w:style>
  <w:style w:type="paragraph" w:styleId="BodyText">
    <w:name w:val="Body Text"/>
    <w:basedOn w:val="Normal"/>
    <w:link w:val="BodyTextChar"/>
    <w:uiPriority w:val="1"/>
    <w:qFormat/>
    <w:pPr>
      <w:spacing w:after="120"/>
    </w:pPr>
  </w:style>
  <w:style w:type="character" w:customStyle="1" w:styleId="BodyTextChar">
    <w:name w:val="Body Text Char"/>
    <w:link w:val="BodyText"/>
    <w:uiPriority w:val="1"/>
    <w:rPr>
      <w:sz w:val="24"/>
      <w:szCs w:val="24"/>
    </w:rPr>
  </w:style>
  <w:style w:type="paragraph" w:customStyle="1" w:styleId="ColorfulShading-Accent11">
    <w:name w:val="Colorful Shading - Accent 11"/>
    <w:hidden/>
    <w:uiPriority w:val="99"/>
    <w:semiHidden/>
    <w:rPr>
      <w:sz w:val="24"/>
      <w:szCs w:val="24"/>
      <w:lang w:bidi="he-IL"/>
    </w:rPr>
  </w:style>
  <w:style w:type="paragraph" w:styleId="Revision">
    <w:name w:val="Revision"/>
    <w:hidden/>
    <w:uiPriority w:val="71"/>
    <w:rPr>
      <w:sz w:val="24"/>
      <w:szCs w:val="24"/>
      <w:lang w:bidi="he-IL"/>
    </w:rPr>
  </w:style>
  <w:style w:type="paragraph" w:styleId="ListParagraph">
    <w:name w:val="List Paragraph"/>
    <w:basedOn w:val="Normal"/>
    <w:uiPriority w:val="34"/>
    <w:qFormat/>
    <w:pPr>
      <w:ind w:left="720"/>
      <w:contextualSpacing/>
    </w:pPr>
  </w:style>
  <w:style w:type="table" w:styleId="TableGrid">
    <w:name w:val="Table Grid"/>
    <w:basedOn w:val="TableNormal"/>
    <w:rPr>
      <w:rFonts w:cs="Miriam"/>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932511917">
      <w:bodyDiv w:val="1"/>
      <w:marLeft w:val="0"/>
      <w:marRight w:val="0"/>
      <w:marTop w:val="0"/>
      <w:marBottom w:val="0"/>
      <w:divBdr>
        <w:top w:val="none" w:sz="0" w:space="0" w:color="auto"/>
        <w:left w:val="none" w:sz="0" w:space="0" w:color="auto"/>
        <w:bottom w:val="none" w:sz="0" w:space="0" w:color="auto"/>
        <w:right w:val="none" w:sz="0" w:space="0" w:color="auto"/>
      </w:divBdr>
    </w:div>
    <w:div w:id="949973997">
      <w:bodyDiv w:val="1"/>
      <w:marLeft w:val="0"/>
      <w:marRight w:val="0"/>
      <w:marTop w:val="0"/>
      <w:marBottom w:val="0"/>
      <w:divBdr>
        <w:top w:val="none" w:sz="0" w:space="0" w:color="auto"/>
        <w:left w:val="none" w:sz="0" w:space="0" w:color="auto"/>
        <w:bottom w:val="none" w:sz="0" w:space="0" w:color="auto"/>
        <w:right w:val="none" w:sz="0" w:space="0" w:color="auto"/>
      </w:divBdr>
    </w:div>
    <w:div w:id="11284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BE18-FEEE-43A2-8DCD-2EE5A004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2199</Words>
  <Characters>12024</Characters>
  <Application>Microsoft Office Word</Application>
  <DocSecurity>4</DocSecurity>
  <Lines>100</Lines>
  <Paragraphs>28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CARDIAPEX LTD</vt:lpstr>
    </vt:vector>
  </TitlesOfParts>
  <Company>GKH</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cp:lastModifiedBy>NBA</cp:lastModifiedBy>
  <cp:revision>2</cp:revision>
  <cp:lastPrinted>2016-01-17T16:56:00Z</cp:lastPrinted>
  <dcterms:created xsi:type="dcterms:W3CDTF">2022-02-03T12:22:00Z</dcterms:created>
  <dcterms:modified xsi:type="dcterms:W3CDTF">2022-02-03T12:22:00Z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gFAAvvm1OVlBaXGE0pT+Q/aXkqWbfNh3A9gukqjmfSsdNLMeT3NsYhKAFsOutDEhAwwZMgsyC3i4XowTfeeVjFLqA64U33WwCNFxQgO67VYoo7dO0/nO69mJPXTtvlY806/zvOs9TexthuwTfeeVjFLqA64U33WwCNFxQgO67VYoo7dO0/nO69mJPdnjEdqNN7yyhh1gR9fgS7k93YM7kU4rsEjId/Bbc//kv+T7/PjqR40kxdjQV9vFy</vt:lpwstr>
  </property>
  <property fmtid="{D5CDD505-2E9C-101B-9397-08002B2CF9AE}" pid="3" name="MAIL_MSG_ID2">
    <vt:lpwstr>V0T3+aKO0BIR5JAqelxryTD0S9rFyil8KCX9vIQveh/OE4wXakwQtXL+S4nHolJEA+8gn7JV24OmWG2Gi+0fklGfQIcDKUpFg==</vt:lpwstr>
  </property>
  <property fmtid="{D5CDD505-2E9C-101B-9397-08002B2CF9AE}" pid="4" name="RESPONSE_SENDER_NAME">
    <vt:lpwstr>sAAAE34RQVAK31lrhlr2J/v+lHdxyS/Yl6NtQgkjbwL/9kg=</vt:lpwstr>
  </property>
  <property fmtid="{D5CDD505-2E9C-101B-9397-08002B2CF9AE}" pid="5" name="EMAIL_OWNER_ADDRESS">
    <vt:lpwstr>sAAAUYtyAkeNWR7TZFrKn0WeBnnKdW1WTIrfmWG2Gi+0fkk=</vt:lpwstr>
  </property>
</Properties>
</file>